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BC7CB" w14:textId="77777777" w:rsidR="00803EC2" w:rsidRPr="003D207C" w:rsidRDefault="00803EC2" w:rsidP="003D207C">
      <w:pPr>
        <w:jc w:val="center"/>
        <w:rPr>
          <w:b/>
          <w:bCs/>
        </w:rPr>
      </w:pPr>
      <w:r w:rsidRPr="003D207C">
        <w:rPr>
          <w:b/>
          <w:bCs/>
        </w:rPr>
        <w:t>[MUNICIPALITY]</w:t>
      </w:r>
    </w:p>
    <w:p w14:paraId="4D2C9ADA" w14:textId="77777777" w:rsidR="00803EC2" w:rsidRPr="003D207C" w:rsidRDefault="00803EC2" w:rsidP="003D207C">
      <w:pPr>
        <w:jc w:val="center"/>
        <w:rPr>
          <w:b/>
          <w:bCs/>
        </w:rPr>
      </w:pPr>
      <w:r w:rsidRPr="003D207C">
        <w:rPr>
          <w:b/>
          <w:bCs/>
        </w:rPr>
        <w:t>[COUNTY], PENNSYLVANIA</w:t>
      </w:r>
    </w:p>
    <w:p w14:paraId="433D6A72" w14:textId="77777777" w:rsidR="00803EC2" w:rsidRPr="003D207C" w:rsidRDefault="00803EC2" w:rsidP="003D207C">
      <w:pPr>
        <w:jc w:val="center"/>
        <w:rPr>
          <w:b/>
          <w:bCs/>
        </w:rPr>
      </w:pPr>
      <w:r w:rsidRPr="003D207C">
        <w:rPr>
          <w:b/>
          <w:bCs/>
        </w:rPr>
        <w:t>ORDINANCE NO. -</w:t>
      </w:r>
    </w:p>
    <w:p w14:paraId="26297BAC" w14:textId="77777777" w:rsidR="00803EC2" w:rsidRPr="003D207C" w:rsidRDefault="00803EC2" w:rsidP="003D207C">
      <w:pPr>
        <w:jc w:val="center"/>
        <w:rPr>
          <w:b/>
          <w:bCs/>
        </w:rPr>
      </w:pPr>
      <w:r w:rsidRPr="003D207C">
        <w:rPr>
          <w:b/>
          <w:bCs/>
        </w:rPr>
        <w:t>AN ORDINANCE OF THE [GOVERNING BODY] OF [MUNICIPALITY], PENNSYLVANIA, AMENDING THE [MUNICIPALITY] ZONING ORDINANCE TO DEFINE “DATA CENTER” AND “DATA CENTER ACCESSORY USES,” IDENTIFY DISTRICTS OF PERMISSIBILITY, AND ESTABLISH REASONABLE, PERFORMANCE</w:t>
      </w:r>
      <w:r w:rsidRPr="003D207C">
        <w:rPr>
          <w:rFonts w:ascii="Cambria Math" w:hAnsi="Cambria Math" w:cs="Cambria Math"/>
          <w:b/>
          <w:bCs/>
        </w:rPr>
        <w:t>‑</w:t>
      </w:r>
      <w:r w:rsidRPr="003D207C">
        <w:rPr>
          <w:b/>
          <w:bCs/>
        </w:rPr>
        <w:t>BASED STANDARDS.</w:t>
      </w:r>
    </w:p>
    <w:p w14:paraId="207A2A50" w14:textId="77777777" w:rsidR="00803EC2" w:rsidRDefault="00803EC2" w:rsidP="00803EC2"/>
    <w:p w14:paraId="09B5F4B7" w14:textId="77777777" w:rsidR="00803EC2" w:rsidRPr="00021754" w:rsidRDefault="00803EC2" w:rsidP="00803EC2">
      <w:pPr>
        <w:rPr>
          <w:b/>
          <w:bCs/>
        </w:rPr>
      </w:pPr>
      <w:r>
        <w:rPr>
          <w:b/>
          <w:bCs/>
        </w:rPr>
        <w:t>Section 1. Authority; Adoption; Purpose.</w:t>
      </w:r>
    </w:p>
    <w:p w14:paraId="03301272" w14:textId="4DBE42E7" w:rsidR="002A08E4" w:rsidRDefault="00803EC2" w:rsidP="002A08E4">
      <w:pPr>
        <w:pStyle w:val="ListParagraph"/>
        <w:numPr>
          <w:ilvl w:val="0"/>
          <w:numId w:val="2"/>
        </w:numPr>
      </w:pPr>
      <w:r>
        <w:rPr>
          <w:b/>
          <w:bCs/>
          <w:i/>
          <w:iCs/>
        </w:rPr>
        <w:t>Authority</w:t>
      </w:r>
      <w:r>
        <w:t xml:space="preserve">. </w:t>
      </w:r>
    </w:p>
    <w:p w14:paraId="2479C60E" w14:textId="485DA1AA" w:rsidR="00803EC2" w:rsidRDefault="00803EC2" w:rsidP="002A08E4">
      <w:r>
        <w:t xml:space="preserve">This Ordinance is enacted pursuant to Article VI of the Pennsylvania Municipalities Planning Code (the “MPC”), 53 P.S. §10601, et seq., authorizing the [GOVERNING BODY] to enact and amend zoning </w:t>
      </w:r>
      <w:r w:rsidR="00B80D6C">
        <w:t xml:space="preserve">and sub-division and land development </w:t>
      </w:r>
      <w:r>
        <w:t xml:space="preserve">regulations. </w:t>
      </w:r>
    </w:p>
    <w:p w14:paraId="0FEF44EF" w14:textId="69344257" w:rsidR="002A08E4" w:rsidRDefault="00803EC2" w:rsidP="002A08E4">
      <w:pPr>
        <w:pStyle w:val="ListParagraph"/>
        <w:numPr>
          <w:ilvl w:val="0"/>
          <w:numId w:val="2"/>
        </w:numPr>
      </w:pPr>
      <w:r>
        <w:rPr>
          <w:b/>
          <w:bCs/>
          <w:i/>
          <w:iCs/>
        </w:rPr>
        <w:t>Adoption</w:t>
      </w:r>
      <w:r>
        <w:t xml:space="preserve">. </w:t>
      </w:r>
    </w:p>
    <w:p w14:paraId="6EAFDC0D" w14:textId="259B6D73" w:rsidR="00803EC2" w:rsidRDefault="00803EC2" w:rsidP="002A08E4">
      <w:r>
        <w:t>The [GOVERNING BODY] hereby amends the [MUNICIPALITY] Zoning Ordinance at [Sections ] for purposes of permitting data center uses, adding definitions related to data center uses, providing for supplementary regulations to promote responsible data center development while protecting the health, safety, and welfare of the [Municipality] residents</w:t>
      </w:r>
      <w:r w:rsidR="005014DC">
        <w:t>,</w:t>
      </w:r>
      <w:r w:rsidR="00B80D6C">
        <w:t xml:space="preserve"> and permitting for </w:t>
      </w:r>
      <w:r w:rsidR="005014DC">
        <w:t xml:space="preserve">data center </w:t>
      </w:r>
      <w:r w:rsidR="00B80D6C">
        <w:t xml:space="preserve">subdivision and land development through a </w:t>
      </w:r>
      <w:r w:rsidR="005014DC">
        <w:t xml:space="preserve">flexible </w:t>
      </w:r>
      <w:r w:rsidR="00B80D6C">
        <w:t>master plan process</w:t>
      </w:r>
      <w:r>
        <w:t>.</w:t>
      </w:r>
    </w:p>
    <w:p w14:paraId="6B99DE2C" w14:textId="77777777" w:rsidR="00803EC2" w:rsidRPr="00021754" w:rsidRDefault="00803EC2" w:rsidP="00803EC2">
      <w:pPr>
        <w:rPr>
          <w:b/>
          <w:bCs/>
          <w:i/>
          <w:iCs/>
        </w:rPr>
      </w:pPr>
      <w:r>
        <w:rPr>
          <w:b/>
          <w:bCs/>
          <w:i/>
          <w:iCs/>
        </w:rPr>
        <w:t>C. Purpose and Intent.</w:t>
      </w:r>
    </w:p>
    <w:p w14:paraId="104F4B00" w14:textId="787392FB" w:rsidR="00803EC2" w:rsidRDefault="00803EC2" w:rsidP="00803EC2">
      <w:r>
        <w:t xml:space="preserve">To promote practical community development by accommodating reasonable overall community growth, including population and employment growth, by allowing for development of data center use. </w:t>
      </w:r>
    </w:p>
    <w:p w14:paraId="4CFCE5F6" w14:textId="097D8C46" w:rsidR="00803EC2" w:rsidRDefault="00803EC2" w:rsidP="00803EC2">
      <w:r>
        <w:t xml:space="preserve">To provide objective supplementary regulations that align with the community character and promote health, safety and welfare while </w:t>
      </w:r>
      <w:r w:rsidRPr="003640A2">
        <w:t>not being</w:t>
      </w:r>
      <w:r w:rsidRPr="00B22D07">
        <w:t xml:space="preserve"> </w:t>
      </w:r>
      <w:r>
        <w:t>unduly restrictive on typical data center design and operations.</w:t>
      </w:r>
    </w:p>
    <w:p w14:paraId="27245650" w14:textId="77777777" w:rsidR="008A6BC2" w:rsidRDefault="00803EC2" w:rsidP="002A08E4">
      <w:r>
        <w:t xml:space="preserve">To advance economic development and practical mitigation measures, consistent with stakeholder input principles recommended by industry and local partners. </w:t>
      </w:r>
    </w:p>
    <w:p w14:paraId="18F0A65E" w14:textId="286F54A1" w:rsidR="00803EC2" w:rsidRDefault="00803EC2" w:rsidP="00803EC2">
      <w:r>
        <w:lastRenderedPageBreak/>
        <w:t xml:space="preserve">The standards herein are intended as model provisions adaptable by Pennsylvania municipalities to local conditions; municipalities may tailor district placement and dimensional criteria to their comprehensive plans. </w:t>
      </w:r>
    </w:p>
    <w:p w14:paraId="73D06292" w14:textId="77777777" w:rsidR="00803EC2" w:rsidRPr="00610050" w:rsidRDefault="00803EC2" w:rsidP="00803EC2">
      <w:pPr>
        <w:rPr>
          <w:b/>
          <w:bCs/>
        </w:rPr>
      </w:pPr>
      <w:r>
        <w:rPr>
          <w:b/>
          <w:bCs/>
        </w:rPr>
        <w:t>Section 2. Definitions.</w:t>
      </w:r>
    </w:p>
    <w:p w14:paraId="1C627C5E" w14:textId="77777777" w:rsidR="00803EC2" w:rsidRDefault="00803EC2" w:rsidP="00803EC2">
      <w:r>
        <w:t>Add the following to §[Article/Section]—Definitions:</w:t>
      </w:r>
    </w:p>
    <w:p w14:paraId="738C0AA7" w14:textId="1386F9FE" w:rsidR="00803EC2" w:rsidRDefault="00803EC2" w:rsidP="00803EC2">
      <w:r>
        <w:rPr>
          <w:b/>
          <w:bCs/>
          <w:i/>
          <w:iCs/>
        </w:rPr>
        <w:t>Data Center</w:t>
      </w:r>
      <w:r>
        <w:t>. A building or group of buildings primarily occupied by computer, storage, and network equipment where digital information is processed, transferred, and/or stored, typically serving off</w:t>
      </w:r>
      <w:r>
        <w:rPr>
          <w:rFonts w:ascii="Cambria Math" w:hAnsi="Cambria Math" w:cs="Cambria Math"/>
        </w:rPr>
        <w:t>‑</w:t>
      </w:r>
      <w:r>
        <w:t xml:space="preserve">site users. This use includes blockchain transaction processing. Computers or telecom equipment that are customarily incidental to another principal use are not a Data Center. </w:t>
      </w:r>
    </w:p>
    <w:p w14:paraId="011166E7" w14:textId="76EECB00" w:rsidR="00AD2B74" w:rsidRPr="00AD2B74" w:rsidRDefault="00AD2B74" w:rsidP="00803EC2">
      <w:pPr>
        <w:rPr>
          <w:color w:val="FF0000"/>
        </w:rPr>
      </w:pPr>
      <w:r w:rsidRPr="00080550">
        <w:rPr>
          <w:b/>
          <w:bCs/>
          <w:color w:val="FF0000"/>
        </w:rPr>
        <w:t>Commentary</w:t>
      </w:r>
      <w:proofErr w:type="gramStart"/>
      <w:r w:rsidRPr="00AD2B74">
        <w:rPr>
          <w:color w:val="FF0000"/>
        </w:rPr>
        <w:t xml:space="preserve">: </w:t>
      </w:r>
      <w:r w:rsidR="00080550">
        <w:rPr>
          <w:color w:val="FF0000"/>
        </w:rPr>
        <w:t xml:space="preserve"> </w:t>
      </w:r>
      <w:r w:rsidRPr="00AD2B74">
        <w:rPr>
          <w:color w:val="FF0000"/>
        </w:rPr>
        <w:t>A</w:t>
      </w:r>
      <w:proofErr w:type="gramEnd"/>
      <w:r w:rsidRPr="00AD2B74">
        <w:rPr>
          <w:color w:val="FF0000"/>
        </w:rPr>
        <w:t xml:space="preserve"> common misperception is that all data centers are hyperscale </w:t>
      </w:r>
      <w:r w:rsidR="005014DC">
        <w:rPr>
          <w:color w:val="FF0000"/>
        </w:rPr>
        <w:t xml:space="preserve">data </w:t>
      </w:r>
      <w:r w:rsidRPr="00AD2B74">
        <w:rPr>
          <w:color w:val="FF0000"/>
        </w:rPr>
        <w:t xml:space="preserve">centers for AI or cloud use.  </w:t>
      </w:r>
      <w:r>
        <w:rPr>
          <w:color w:val="FF0000"/>
        </w:rPr>
        <w:t xml:space="preserve">A 911 call center is a data center.  </w:t>
      </w:r>
      <w:r w:rsidRPr="00AD2B74">
        <w:rPr>
          <w:color w:val="FF0000"/>
        </w:rPr>
        <w:t xml:space="preserve">There are many types of smaller structures that qualify as data center.  A </w:t>
      </w:r>
      <w:r>
        <w:rPr>
          <w:color w:val="FF0000"/>
        </w:rPr>
        <w:t>municipality</w:t>
      </w:r>
      <w:r w:rsidRPr="00AD2B74">
        <w:rPr>
          <w:color w:val="FF0000"/>
        </w:rPr>
        <w:t xml:space="preserve"> may want to consider additional refinement of the definition of data center.  </w:t>
      </w:r>
    </w:p>
    <w:p w14:paraId="44700F9C" w14:textId="38FB0190" w:rsidR="00803EC2" w:rsidRDefault="00803EC2" w:rsidP="00B94CA6">
      <w:r>
        <w:rPr>
          <w:b/>
          <w:bCs/>
          <w:i/>
          <w:iCs/>
        </w:rPr>
        <w:t>Data Center Accessory Uses</w:t>
      </w:r>
      <w:r w:rsidR="00AD2B74">
        <w:rPr>
          <w:b/>
          <w:bCs/>
          <w:i/>
          <w:iCs/>
        </w:rPr>
        <w:t>/Structures</w:t>
      </w:r>
      <w:r>
        <w:t xml:space="preserve">.  </w:t>
      </w:r>
      <w:r w:rsidR="00AD2B74">
        <w:t>A</w:t>
      </w:r>
      <w:r>
        <w:t xml:space="preserve">ncillary uses or structures associated with data centers including but not limited to: utilities; utility lines; administrative, logistical, fiber optic, storage, and security buildings or structures; electrical substations; domestic and non-contact cooling water and waste-water treatment facilities; water holding facilities; pump stations; water towers; environmental controls (air conditioning or cooling towers, fire suppression, and related equipment); redundant data communications connections; and security features, provided such data center accessory uses/structures are located on the same tract or assemblage of adjacent parcels developed as a unified development for a data center campus. </w:t>
      </w:r>
    </w:p>
    <w:p w14:paraId="6080E7E0" w14:textId="2E57EF02" w:rsidR="002E2219" w:rsidRPr="00494259" w:rsidRDefault="002E2219" w:rsidP="00494259">
      <w:pPr>
        <w:pStyle w:val="b1"/>
        <w:spacing w:after="0"/>
        <w:ind w:left="0"/>
        <w:rPr>
          <w:rFonts w:asciiTheme="minorHAnsi" w:hAnsiTheme="minorHAnsi" w:cs="Times New Roman"/>
          <w:color w:val="313335"/>
          <w:spacing w:val="2"/>
          <w:sz w:val="24"/>
          <w:szCs w:val="24"/>
          <w:shd w:val="clear" w:color="auto" w:fill="FFFFFF"/>
        </w:rPr>
      </w:pPr>
      <w:r>
        <w:rPr>
          <w:rFonts w:asciiTheme="minorHAnsi" w:hAnsiTheme="minorHAnsi" w:cs="Times New Roman"/>
          <w:b/>
          <w:bCs/>
          <w:i/>
          <w:iCs/>
          <w:color w:val="313335"/>
          <w:spacing w:val="2"/>
          <w:sz w:val="24"/>
          <w:szCs w:val="24"/>
          <w:shd w:val="clear" w:color="auto" w:fill="FFFFFF"/>
        </w:rPr>
        <w:t>Data Center Campus</w:t>
      </w:r>
      <w:r>
        <w:rPr>
          <w:rFonts w:asciiTheme="minorHAnsi" w:hAnsiTheme="minorHAnsi" w:cs="Times New Roman"/>
          <w:b/>
          <w:bCs/>
          <w:color w:val="313335"/>
          <w:spacing w:val="2"/>
          <w:sz w:val="24"/>
          <w:szCs w:val="24"/>
          <w:shd w:val="clear" w:color="auto" w:fill="FFFFFF"/>
        </w:rPr>
        <w:t xml:space="preserve">. </w:t>
      </w:r>
      <w:r>
        <w:rPr>
          <w:rFonts w:asciiTheme="minorHAnsi" w:hAnsiTheme="minorHAnsi" w:cs="Times New Roman"/>
          <w:color w:val="313335"/>
          <w:spacing w:val="2"/>
          <w:sz w:val="24"/>
          <w:szCs w:val="24"/>
          <w:shd w:val="clear" w:color="auto" w:fill="FFFFFF"/>
        </w:rPr>
        <w:t>An integrated development of multiple data centers that may include data center accessory uses/structures and data center equipment.</w:t>
      </w:r>
    </w:p>
    <w:p w14:paraId="4C4C64E6" w14:textId="77777777" w:rsidR="002E2219" w:rsidRPr="00494259" w:rsidRDefault="002E2219" w:rsidP="002E2219">
      <w:pPr>
        <w:pStyle w:val="b1"/>
        <w:spacing w:after="0"/>
        <w:ind w:left="0" w:firstLine="720"/>
        <w:rPr>
          <w:rFonts w:asciiTheme="minorHAnsi" w:hAnsiTheme="minorHAnsi" w:cs="Times New Roman"/>
          <w:color w:val="313335"/>
          <w:spacing w:val="2"/>
          <w:sz w:val="24"/>
          <w:szCs w:val="24"/>
          <w:shd w:val="clear" w:color="auto" w:fill="FFFFFF"/>
        </w:rPr>
      </w:pPr>
    </w:p>
    <w:p w14:paraId="6D5CEBA0" w14:textId="56C2A374" w:rsidR="002E2219" w:rsidRDefault="002E2219" w:rsidP="005014DC">
      <w:pPr>
        <w:pStyle w:val="b1"/>
        <w:spacing w:after="0"/>
        <w:ind w:left="0"/>
        <w:rPr>
          <w:rFonts w:asciiTheme="minorHAnsi" w:hAnsiTheme="minorHAnsi" w:cs="Times New Roman"/>
          <w:sz w:val="24"/>
          <w:szCs w:val="24"/>
        </w:rPr>
      </w:pPr>
      <w:r>
        <w:rPr>
          <w:rFonts w:asciiTheme="minorHAnsi" w:hAnsiTheme="minorHAnsi" w:cs="Times New Roman"/>
          <w:b/>
          <w:bCs/>
          <w:i/>
          <w:iCs/>
          <w:sz w:val="24"/>
          <w:szCs w:val="24"/>
        </w:rPr>
        <w:t>Data Center Equipment</w:t>
      </w:r>
      <w:r>
        <w:rPr>
          <w:rFonts w:asciiTheme="minorHAnsi" w:hAnsiTheme="minorHAnsi" w:cs="Times New Roman"/>
          <w:sz w:val="24"/>
          <w:szCs w:val="24"/>
        </w:rPr>
        <w:t>. Outdoor mechanical equipment adjacent to a data center that provides redundant power capacity to a data center.</w:t>
      </w:r>
    </w:p>
    <w:p w14:paraId="6039E767" w14:textId="77777777" w:rsidR="005014DC" w:rsidRPr="005014DC" w:rsidRDefault="005014DC" w:rsidP="005014DC">
      <w:pPr>
        <w:pStyle w:val="b1"/>
        <w:spacing w:after="0"/>
        <w:ind w:left="0"/>
        <w:rPr>
          <w:rFonts w:asciiTheme="minorHAnsi" w:hAnsiTheme="minorHAnsi" w:cs="Times New Roman"/>
          <w:color w:val="313335"/>
          <w:spacing w:val="2"/>
          <w:sz w:val="24"/>
          <w:szCs w:val="24"/>
          <w:shd w:val="clear" w:color="auto" w:fill="FFFFFF"/>
        </w:rPr>
      </w:pPr>
    </w:p>
    <w:p w14:paraId="47CED358" w14:textId="4F0F37C8" w:rsidR="007B3EDF" w:rsidRPr="00494259" w:rsidRDefault="002E2219" w:rsidP="00494259">
      <w:pPr>
        <w:spacing w:line="259" w:lineRule="auto"/>
        <w:rPr>
          <w:rFonts w:cs="Times New Roman"/>
          <w:color w:val="313335"/>
          <w:spacing w:val="2"/>
          <w:shd w:val="clear" w:color="auto" w:fill="FFFFFF"/>
        </w:rPr>
      </w:pPr>
      <w:r>
        <w:rPr>
          <w:rFonts w:cs="Times New Roman"/>
          <w:b/>
          <w:bCs/>
          <w:i/>
          <w:iCs/>
          <w:color w:val="313335"/>
          <w:spacing w:val="2"/>
          <w:shd w:val="clear" w:color="auto" w:fill="FFFFFF"/>
        </w:rPr>
        <w:t>Data Center Campus Master Plan</w:t>
      </w:r>
      <w:r>
        <w:rPr>
          <w:rFonts w:cs="Times New Roman"/>
          <w:color w:val="313335"/>
          <w:spacing w:val="2"/>
          <w:shd w:val="clear" w:color="auto" w:fill="FFFFFF"/>
        </w:rPr>
        <w:t xml:space="preserve">.  A plan for land development for a data center campus as set forth in Section </w:t>
      </w:r>
      <w:proofErr w:type="gramStart"/>
      <w:r>
        <w:rPr>
          <w:rFonts w:cs="Times New Roman"/>
          <w:color w:val="313335"/>
          <w:spacing w:val="2"/>
          <w:shd w:val="clear" w:color="auto" w:fill="FFFFFF"/>
        </w:rPr>
        <w:t>[  ]</w:t>
      </w:r>
      <w:proofErr w:type="gramEnd"/>
      <w:r>
        <w:rPr>
          <w:rFonts w:cs="Times New Roman"/>
          <w:color w:val="313335"/>
          <w:spacing w:val="2"/>
          <w:shd w:val="clear" w:color="auto" w:fill="FFFFFF"/>
        </w:rPr>
        <w:t>.</w:t>
      </w:r>
    </w:p>
    <w:p w14:paraId="5DB18884" w14:textId="516FD5B7" w:rsidR="007B3EDF" w:rsidRPr="00494259" w:rsidRDefault="007B3EDF" w:rsidP="00F16B42">
      <w:pPr>
        <w:spacing w:line="240" w:lineRule="auto"/>
        <w:rPr>
          <w:rFonts w:cs="Arial"/>
        </w:rPr>
      </w:pPr>
      <w:r>
        <w:rPr>
          <w:rFonts w:cs="Arial"/>
          <w:b/>
          <w:bCs/>
          <w:i/>
          <w:iCs/>
        </w:rPr>
        <w:t>Sensitive Receptor</w:t>
      </w:r>
      <w:r>
        <w:rPr>
          <w:rFonts w:cs="Arial"/>
          <w:b/>
          <w:bCs/>
        </w:rPr>
        <w:t>.</w:t>
      </w:r>
      <w:r>
        <w:rPr>
          <w:rFonts w:cs="Arial"/>
        </w:rPr>
        <w:t xml:space="preserve">  Schools, preschools, daycare centers, in-home daycares, health facilities such as hospitals, long term care facilities, retirement and nursing homes, community centers, places of worship, playgrounds, parks, campgrounds, prisons, dormitories, and any residence where such residence is not located on a parcel with an </w:t>
      </w:r>
      <w:r>
        <w:rPr>
          <w:rFonts w:cs="Arial"/>
        </w:rPr>
        <w:lastRenderedPageBreak/>
        <w:t>existing industrial, commercial, or unpermitted use as determined by the zoning officer, and any parcel where a residential use is a use permitted as a matter of right.</w:t>
      </w:r>
    </w:p>
    <w:p w14:paraId="1E8C5BA9" w14:textId="77777777" w:rsidR="00803EC2" w:rsidRPr="00B94CA6" w:rsidRDefault="00803EC2" w:rsidP="00803EC2">
      <w:pPr>
        <w:rPr>
          <w:b/>
          <w:bCs/>
        </w:rPr>
      </w:pPr>
      <w:r>
        <w:rPr>
          <w:b/>
          <w:bCs/>
        </w:rPr>
        <w:t>Section 3. Use Regulations.</w:t>
      </w:r>
    </w:p>
    <w:p w14:paraId="09A52157" w14:textId="77777777" w:rsidR="00803EC2" w:rsidRPr="00150905" w:rsidRDefault="00803EC2" w:rsidP="00803EC2">
      <w:pPr>
        <w:rPr>
          <w:b/>
          <w:bCs/>
          <w:i/>
          <w:iCs/>
        </w:rPr>
      </w:pPr>
      <w:r>
        <w:rPr>
          <w:b/>
          <w:bCs/>
          <w:i/>
          <w:iCs/>
        </w:rPr>
        <w:t>A. Districts.</w:t>
      </w:r>
    </w:p>
    <w:p w14:paraId="5E0EA53C" w14:textId="0EC148AC" w:rsidR="00803EC2" w:rsidRDefault="00803EC2" w:rsidP="00803EC2">
      <w:r>
        <w:t>Permitted by Right: (</w:t>
      </w:r>
      <w:r w:rsidR="00B22D07">
        <w:t>Industrial zones/business or industrial parks/Mine</w:t>
      </w:r>
      <w:r>
        <w:t>)</w:t>
      </w:r>
    </w:p>
    <w:p w14:paraId="6C6864B9" w14:textId="10C652EB" w:rsidR="00B22D07" w:rsidRDefault="00B22D07" w:rsidP="00B22D07">
      <w:pPr>
        <w:jc w:val="both"/>
        <w:rPr>
          <w:color w:val="FF0000"/>
        </w:rPr>
      </w:pPr>
      <w:r w:rsidRPr="00572D83">
        <w:rPr>
          <w:b/>
          <w:bCs/>
          <w:color w:val="FF0000"/>
        </w:rPr>
        <w:t>Commentary:</w:t>
      </w:r>
      <w:r w:rsidRPr="00B22D07">
        <w:rPr>
          <w:color w:val="FF0000"/>
        </w:rPr>
        <w:t xml:space="preserve"> </w:t>
      </w:r>
      <w:r>
        <w:rPr>
          <w:color w:val="FF0000"/>
        </w:rPr>
        <w:t xml:space="preserve">By right use encourages data center development.  Data Centers need certainty to commit </w:t>
      </w:r>
      <w:proofErr w:type="gramStart"/>
      <w:r>
        <w:rPr>
          <w:color w:val="FF0000"/>
        </w:rPr>
        <w:t>the substantial</w:t>
      </w:r>
      <w:proofErr w:type="gramEnd"/>
      <w:r>
        <w:rPr>
          <w:color w:val="FF0000"/>
        </w:rPr>
        <w:t xml:space="preserve"> capital investment </w:t>
      </w:r>
      <w:r w:rsidR="00E15319">
        <w:rPr>
          <w:color w:val="FF0000"/>
        </w:rPr>
        <w:t>for this type of economic development</w:t>
      </w:r>
      <w:r>
        <w:rPr>
          <w:color w:val="FF0000"/>
        </w:rPr>
        <w:t>.  Data Centers are light industrial/commercial use</w:t>
      </w:r>
      <w:r w:rsidR="00E15319">
        <w:rPr>
          <w:color w:val="FF0000"/>
        </w:rPr>
        <w:t>s</w:t>
      </w:r>
      <w:r>
        <w:rPr>
          <w:color w:val="FF0000"/>
        </w:rPr>
        <w:t xml:space="preserve">.  </w:t>
      </w:r>
      <w:proofErr w:type="gramStart"/>
      <w:r>
        <w:rPr>
          <w:color w:val="FF0000"/>
        </w:rPr>
        <w:t>Siting</w:t>
      </w:r>
      <w:proofErr w:type="gramEnd"/>
      <w:r>
        <w:rPr>
          <w:color w:val="FF0000"/>
        </w:rPr>
        <w:t xml:space="preserve"> data centers in areas zoned or used for industrial or commercial uses particularly with </w:t>
      </w:r>
      <w:proofErr w:type="gramStart"/>
      <w:r>
        <w:rPr>
          <w:color w:val="FF0000"/>
        </w:rPr>
        <w:t>close proximity</w:t>
      </w:r>
      <w:proofErr w:type="gramEnd"/>
      <w:r>
        <w:rPr>
          <w:color w:val="FF0000"/>
        </w:rPr>
        <w:t xml:space="preserve"> to existing or planned utility infrastructure</w:t>
      </w:r>
      <w:r w:rsidR="005014DC">
        <w:rPr>
          <w:color w:val="FF0000"/>
        </w:rPr>
        <w:t xml:space="preserve"> such as substations and </w:t>
      </w:r>
      <w:proofErr w:type="gramStart"/>
      <w:r w:rsidR="005014DC">
        <w:rPr>
          <w:color w:val="FF0000"/>
        </w:rPr>
        <w:t>high powered</w:t>
      </w:r>
      <w:proofErr w:type="gramEnd"/>
      <w:r w:rsidR="005014DC">
        <w:rPr>
          <w:color w:val="FF0000"/>
        </w:rPr>
        <w:t xml:space="preserve"> lines</w:t>
      </w:r>
      <w:r>
        <w:rPr>
          <w:color w:val="FF0000"/>
        </w:rPr>
        <w:t xml:space="preserve"> is preferrable</w:t>
      </w:r>
      <w:r w:rsidR="00E15319">
        <w:rPr>
          <w:color w:val="FF0000"/>
        </w:rPr>
        <w:t>,</w:t>
      </w:r>
      <w:r>
        <w:rPr>
          <w:color w:val="FF0000"/>
        </w:rPr>
        <w:t xml:space="preserve"> and that infrastructure is typically </w:t>
      </w:r>
      <w:r w:rsidR="005014DC">
        <w:rPr>
          <w:color w:val="FF0000"/>
        </w:rPr>
        <w:t xml:space="preserve">away </w:t>
      </w:r>
      <w:r>
        <w:rPr>
          <w:color w:val="FF0000"/>
        </w:rPr>
        <w:t>located from populated residential areas.  Governor Shapiro has announced the GRID initiative to ensure community impacts are addressed in any substantial data center development.  Data Center developers who wish to participate in the governor</w:t>
      </w:r>
      <w:r w:rsidR="00E15319">
        <w:rPr>
          <w:color w:val="FF0000"/>
        </w:rPr>
        <w:t>’</w:t>
      </w:r>
      <w:r>
        <w:rPr>
          <w:color w:val="FF0000"/>
        </w:rPr>
        <w:t>s process wi</w:t>
      </w:r>
      <w:r w:rsidR="00E15319">
        <w:rPr>
          <w:color w:val="FF0000"/>
        </w:rPr>
        <w:t>ll</w:t>
      </w:r>
      <w:r>
        <w:rPr>
          <w:color w:val="FF0000"/>
        </w:rPr>
        <w:t xml:space="preserve"> need to consider a Community Benefits Agreement regardless of process to obtain entitlements.  Public process is still guaranteed through the land development plan process.</w:t>
      </w:r>
    </w:p>
    <w:p w14:paraId="72E5CFFA" w14:textId="5A222EC0" w:rsidR="00803EC2" w:rsidRDefault="00803EC2" w:rsidP="00803EC2">
      <w:r>
        <w:t>By Conditional Use or Special Exception: (Commercial/Mixed</w:t>
      </w:r>
      <w:r>
        <w:rPr>
          <w:rFonts w:ascii="Cambria Math" w:hAnsi="Cambria Math" w:cs="Cambria Math"/>
        </w:rPr>
        <w:t>‑</w:t>
      </w:r>
      <w:r>
        <w:t>Use/Innovation); Overlay District Option.</w:t>
      </w:r>
    </w:p>
    <w:p w14:paraId="29547074" w14:textId="51F12CAD" w:rsidR="00B22D07" w:rsidRPr="00E15319" w:rsidRDefault="00B22D07" w:rsidP="00803EC2">
      <w:pPr>
        <w:rPr>
          <w:color w:val="EE0000"/>
        </w:rPr>
      </w:pPr>
      <w:r>
        <w:rPr>
          <w:b/>
          <w:bCs/>
          <w:color w:val="EE0000"/>
        </w:rPr>
        <w:t xml:space="preserve">Commentary: </w:t>
      </w:r>
      <w:r>
        <w:rPr>
          <w:color w:val="EE0000"/>
        </w:rPr>
        <w:t xml:space="preserve">Locally select the districts that match your land use map; this preserves flexibility while avoiding blanket bans. It is misconception that a conditional use or special exception is not a by right use.  Conditional uses or special exceptions are still by right if the developer </w:t>
      </w:r>
      <w:r w:rsidR="00E15319">
        <w:rPr>
          <w:color w:val="EE0000"/>
        </w:rPr>
        <w:t>meets the objective criteria of the ordinance.  Conditional uses or special exceptions are certainly considerations in a mixed</w:t>
      </w:r>
      <w:r w:rsidR="003640A2">
        <w:rPr>
          <w:color w:val="EE0000"/>
        </w:rPr>
        <w:t>-</w:t>
      </w:r>
      <w:r w:rsidR="00E15319">
        <w:rPr>
          <w:color w:val="EE0000"/>
        </w:rPr>
        <w:t xml:space="preserve">use environment or in an overlay concept where consideration of the existing zoned uses is warranted. </w:t>
      </w:r>
    </w:p>
    <w:p w14:paraId="75689A36" w14:textId="3B0B3003" w:rsidR="00803EC2" w:rsidRDefault="00803EC2" w:rsidP="00803EC2">
      <w:r>
        <w:t>Prohibited: Low</w:t>
      </w:r>
      <w:r>
        <w:rPr>
          <w:rFonts w:ascii="Cambria Math" w:hAnsi="Cambria Math" w:cs="Cambria Math"/>
        </w:rPr>
        <w:t>‑</w:t>
      </w:r>
      <w:r>
        <w:t>density residential districts unless</w:t>
      </w:r>
      <w:r w:rsidR="00E15319">
        <w:t xml:space="preserve"> included in overlay district</w:t>
      </w:r>
      <w:r>
        <w:t>.</w:t>
      </w:r>
    </w:p>
    <w:p w14:paraId="4B67E067" w14:textId="7FABDB64" w:rsidR="00E15319" w:rsidRDefault="00E15319" w:rsidP="00803EC2">
      <w:pPr>
        <w:rPr>
          <w:color w:val="FF0000"/>
        </w:rPr>
      </w:pPr>
      <w:r w:rsidRPr="00572D83">
        <w:rPr>
          <w:b/>
          <w:bCs/>
          <w:color w:val="FF0000"/>
        </w:rPr>
        <w:t>Commentary</w:t>
      </w:r>
      <w:proofErr w:type="gramStart"/>
      <w:r w:rsidRPr="00572D83">
        <w:rPr>
          <w:b/>
          <w:bCs/>
          <w:color w:val="FF0000"/>
        </w:rPr>
        <w:t>:</w:t>
      </w:r>
      <w:r w:rsidRPr="00E15319">
        <w:rPr>
          <w:color w:val="FF0000"/>
        </w:rPr>
        <w:t xml:space="preserve">  Low</w:t>
      </w:r>
      <w:proofErr w:type="gramEnd"/>
      <w:r w:rsidRPr="00E15319">
        <w:rPr>
          <w:color w:val="FF0000"/>
        </w:rPr>
        <w:t>-density residential districts are generally not a compatible use for data center</w:t>
      </w:r>
      <w:r>
        <w:rPr>
          <w:color w:val="FF0000"/>
        </w:rPr>
        <w:t>s</w:t>
      </w:r>
      <w:r w:rsidRPr="00E15319">
        <w:rPr>
          <w:color w:val="FF0000"/>
        </w:rPr>
        <w:t xml:space="preserve">.  However, if the municipality contains insufficient industrial land or appropriately zoned commercial land, an overlay district is an appropriate tool to </w:t>
      </w:r>
      <w:r>
        <w:rPr>
          <w:color w:val="FF0000"/>
        </w:rPr>
        <w:t xml:space="preserve">address exclusionary concerns.  Priority consideration should be given to areas that </w:t>
      </w:r>
      <w:r w:rsidR="003640A2">
        <w:rPr>
          <w:color w:val="FF0000"/>
        </w:rPr>
        <w:t>are currently</w:t>
      </w:r>
      <w:r>
        <w:rPr>
          <w:color w:val="FF0000"/>
        </w:rPr>
        <w:t xml:space="preserve"> or were subject to </w:t>
      </w:r>
      <w:proofErr w:type="gramStart"/>
      <w:r>
        <w:rPr>
          <w:color w:val="FF0000"/>
        </w:rPr>
        <w:t>a</w:t>
      </w:r>
      <w:r w:rsidR="003640A2">
        <w:rPr>
          <w:color w:val="FF0000"/>
        </w:rPr>
        <w:t>n</w:t>
      </w:r>
      <w:r>
        <w:rPr>
          <w:color w:val="FF0000"/>
        </w:rPr>
        <w:t xml:space="preserve"> industrial</w:t>
      </w:r>
      <w:proofErr w:type="gramEnd"/>
      <w:r>
        <w:rPr>
          <w:color w:val="FF0000"/>
        </w:rPr>
        <w:t xml:space="preserve"> use such as mines or quarries.  Proximity to existing utility infrastructure should be considered.  </w:t>
      </w:r>
      <w:r w:rsidRPr="00E15319">
        <w:rPr>
          <w:color w:val="FF0000"/>
        </w:rPr>
        <w:t xml:space="preserve"> </w:t>
      </w:r>
    </w:p>
    <w:p w14:paraId="7974FCD9" w14:textId="58BA701A" w:rsidR="00E15319" w:rsidRPr="00E15319" w:rsidRDefault="00E15319" w:rsidP="00803EC2">
      <w:pPr>
        <w:rPr>
          <w:color w:val="FF0000"/>
        </w:rPr>
      </w:pPr>
      <w:r w:rsidRPr="00572D83">
        <w:rPr>
          <w:color w:val="FF0000"/>
          <w:highlight w:val="yellow"/>
        </w:rPr>
        <w:t xml:space="preserve">In selecting the type of approval process, a municipality should consider the best pathway forward in its jurisdiction to permit reasonable </w:t>
      </w:r>
      <w:r w:rsidR="00AD2B74" w:rsidRPr="00572D83">
        <w:rPr>
          <w:color w:val="FF0000"/>
          <w:highlight w:val="yellow"/>
        </w:rPr>
        <w:t xml:space="preserve">development required by the MPC while </w:t>
      </w:r>
      <w:r w:rsidR="00AD2B74" w:rsidRPr="00572D83">
        <w:rPr>
          <w:color w:val="FF0000"/>
          <w:highlight w:val="yellow"/>
        </w:rPr>
        <w:lastRenderedPageBreak/>
        <w:t xml:space="preserve">considering the potential political and legal </w:t>
      </w:r>
      <w:r w:rsidR="005014DC">
        <w:rPr>
          <w:color w:val="FF0000"/>
          <w:highlight w:val="yellow"/>
        </w:rPr>
        <w:t>complications</w:t>
      </w:r>
      <w:r w:rsidR="00AD2B74" w:rsidRPr="00572D83">
        <w:rPr>
          <w:color w:val="FF0000"/>
          <w:highlight w:val="yellow"/>
        </w:rPr>
        <w:t xml:space="preserve"> that may </w:t>
      </w:r>
      <w:r w:rsidR="003640A2">
        <w:rPr>
          <w:color w:val="FF0000"/>
          <w:highlight w:val="yellow"/>
        </w:rPr>
        <w:t>incur from improper planning</w:t>
      </w:r>
      <w:r w:rsidR="00AD2B74" w:rsidRPr="00572D83">
        <w:rPr>
          <w:color w:val="FF0000"/>
          <w:highlight w:val="yellow"/>
        </w:rPr>
        <w:t>.</w:t>
      </w:r>
      <w:r w:rsidR="00AD2B74">
        <w:rPr>
          <w:color w:val="FF0000"/>
        </w:rPr>
        <w:t xml:space="preserve">  </w:t>
      </w:r>
    </w:p>
    <w:p w14:paraId="2EFCC425" w14:textId="27AFE673" w:rsidR="00150905" w:rsidRDefault="00803EC2" w:rsidP="00526CC9">
      <w:pPr>
        <w:pStyle w:val="ListParagraph"/>
        <w:numPr>
          <w:ilvl w:val="0"/>
          <w:numId w:val="4"/>
        </w:numPr>
      </w:pPr>
      <w:r>
        <w:rPr>
          <w:b/>
          <w:bCs/>
          <w:i/>
          <w:iCs/>
        </w:rPr>
        <w:t>Accessory Uses.</w:t>
      </w:r>
      <w:r>
        <w:t xml:space="preserve"> </w:t>
      </w:r>
    </w:p>
    <w:p w14:paraId="13264EA9" w14:textId="6D6B54BA" w:rsidR="00526CC9" w:rsidRDefault="00803EC2" w:rsidP="00803EC2">
      <w:pPr>
        <w:rPr>
          <w:b/>
          <w:bCs/>
        </w:rPr>
      </w:pPr>
      <w:r>
        <w:t xml:space="preserve">Data Center Accessory Uses are allowed with and incidental to a principal Data Center in accordance with </w:t>
      </w:r>
      <w:r>
        <w:rPr>
          <w:i/>
          <w:iCs/>
        </w:rPr>
        <w:t>(subsection on performance standards).</w:t>
      </w:r>
    </w:p>
    <w:p w14:paraId="648F42CC" w14:textId="207DBF72" w:rsidR="00803EC2" w:rsidRPr="00150905" w:rsidRDefault="00803EC2" w:rsidP="00803EC2">
      <w:pPr>
        <w:rPr>
          <w:b/>
          <w:bCs/>
        </w:rPr>
      </w:pPr>
      <w:r>
        <w:rPr>
          <w:b/>
          <w:bCs/>
        </w:rPr>
        <w:t>Section 4. Dimensional and Design Standards.</w:t>
      </w:r>
    </w:p>
    <w:p w14:paraId="65C56224" w14:textId="24642A8B" w:rsidR="00803EC2" w:rsidRPr="00150905" w:rsidRDefault="00803EC2" w:rsidP="00803EC2">
      <w:pPr>
        <w:rPr>
          <w:b/>
          <w:bCs/>
          <w:i/>
          <w:iCs/>
        </w:rPr>
      </w:pPr>
      <w:r>
        <w:rPr>
          <w:b/>
          <w:bCs/>
          <w:i/>
          <w:iCs/>
        </w:rPr>
        <w:t>A. Height.</w:t>
      </w:r>
    </w:p>
    <w:p w14:paraId="6052E97A" w14:textId="3F287832" w:rsidR="00803EC2" w:rsidRDefault="00FE124A" w:rsidP="00803EC2">
      <w:r>
        <w:t>Data Center: up to [</w:t>
      </w:r>
      <w:r>
        <w:rPr>
          <w:highlight w:val="yellow"/>
        </w:rPr>
        <w:t>XX</w:t>
      </w:r>
      <w:r>
        <w:t>] feet inclusive of roof-mounted equipment such as cooling and ventilation systems, HVAC units and cooling towers.</w:t>
      </w:r>
    </w:p>
    <w:p w14:paraId="0489E33D" w14:textId="5A8253C6" w:rsidR="00AD2B74" w:rsidRPr="00572D83" w:rsidRDefault="00AD2B74" w:rsidP="00803EC2">
      <w:pPr>
        <w:rPr>
          <w:color w:val="FF0000"/>
        </w:rPr>
      </w:pPr>
      <w:r w:rsidRPr="00572D83">
        <w:rPr>
          <w:b/>
          <w:bCs/>
          <w:color w:val="FF0000"/>
        </w:rPr>
        <w:t>Commentary</w:t>
      </w:r>
      <w:proofErr w:type="gramStart"/>
      <w:r w:rsidRPr="00572D83">
        <w:rPr>
          <w:b/>
          <w:bCs/>
          <w:color w:val="FF0000"/>
        </w:rPr>
        <w:t>:</w:t>
      </w:r>
      <w:r w:rsidRPr="00572D83">
        <w:rPr>
          <w:color w:val="FF0000"/>
        </w:rPr>
        <w:t xml:space="preserve">  Data</w:t>
      </w:r>
      <w:proofErr w:type="gramEnd"/>
      <w:r w:rsidRPr="00572D83">
        <w:rPr>
          <w:color w:val="FF0000"/>
        </w:rPr>
        <w:t xml:space="preserve"> Center </w:t>
      </w:r>
      <w:r w:rsidR="005014DC">
        <w:rPr>
          <w:color w:val="FF0000"/>
        </w:rPr>
        <w:t xml:space="preserve">height is a decision that should be left to the individual </w:t>
      </w:r>
      <w:r w:rsidRPr="00572D83">
        <w:rPr>
          <w:color w:val="FF0000"/>
        </w:rPr>
        <w:t>municipalit</w:t>
      </w:r>
      <w:r w:rsidR="005014DC">
        <w:rPr>
          <w:color w:val="FF0000"/>
        </w:rPr>
        <w:t>ies</w:t>
      </w:r>
      <w:r w:rsidRPr="00572D83">
        <w:rPr>
          <w:color w:val="FF0000"/>
        </w:rPr>
        <w:t xml:space="preserve">.  One story hyperscale </w:t>
      </w:r>
      <w:r w:rsidR="005014DC">
        <w:rPr>
          <w:color w:val="FF0000"/>
        </w:rPr>
        <w:t xml:space="preserve">data </w:t>
      </w:r>
      <w:r w:rsidRPr="00572D83">
        <w:rPr>
          <w:color w:val="FF0000"/>
        </w:rPr>
        <w:t xml:space="preserve">centers are typically 45-50 feet.  Two story hyperscale </w:t>
      </w:r>
      <w:r w:rsidR="005014DC">
        <w:rPr>
          <w:color w:val="FF0000"/>
        </w:rPr>
        <w:t xml:space="preserve">data </w:t>
      </w:r>
      <w:r w:rsidRPr="00572D83">
        <w:rPr>
          <w:color w:val="FF0000"/>
        </w:rPr>
        <w:t>centers are 75-80 feet.  3 story hyperscale data centers</w:t>
      </w:r>
      <w:r w:rsidR="00572D83" w:rsidRPr="00572D83">
        <w:rPr>
          <w:color w:val="FF0000"/>
        </w:rPr>
        <w:t xml:space="preserve"> </w:t>
      </w:r>
      <w:r w:rsidRPr="00572D83">
        <w:rPr>
          <w:color w:val="FF0000"/>
        </w:rPr>
        <w:t>are</w:t>
      </w:r>
      <w:r w:rsidR="00572D83" w:rsidRPr="00572D83">
        <w:rPr>
          <w:color w:val="FF0000"/>
        </w:rPr>
        <w:t xml:space="preserve"> 110-120 feet.  There are trade-offs on height.  A multi-story building means a smaller footprint and less impervious area.   </w:t>
      </w:r>
      <w:r w:rsidRPr="00572D83">
        <w:rPr>
          <w:color w:val="FF0000"/>
        </w:rPr>
        <w:t xml:space="preserve"> </w:t>
      </w:r>
    </w:p>
    <w:p w14:paraId="67D3C476" w14:textId="27B74B7C" w:rsidR="00803EC2" w:rsidRDefault="00803EC2" w:rsidP="00803EC2">
      <w:r>
        <w:t xml:space="preserve">Accessory structures/equipment enclosures may exceed the principal roofline when fully screened by parapet, equipment penthouse, or compatible architectural treatment. </w:t>
      </w:r>
    </w:p>
    <w:p w14:paraId="6CF7E019" w14:textId="11F82006" w:rsidR="00803EC2" w:rsidRPr="00277585" w:rsidRDefault="00803EC2" w:rsidP="00803EC2">
      <w:pPr>
        <w:rPr>
          <w:b/>
          <w:bCs/>
          <w:i/>
          <w:iCs/>
        </w:rPr>
      </w:pPr>
      <w:r>
        <w:rPr>
          <w:b/>
          <w:bCs/>
          <w:i/>
          <w:iCs/>
        </w:rPr>
        <w:t>B. Setbacks</w:t>
      </w:r>
    </w:p>
    <w:p w14:paraId="41F17158" w14:textId="77777777" w:rsidR="00572D83" w:rsidRDefault="00277585" w:rsidP="003527E5">
      <w:r>
        <w:t xml:space="preserve">Data Centers and Data Center Accessory Uses shall be set back </w:t>
      </w:r>
      <w:r w:rsidRPr="003640A2">
        <w:t>100 feet</w:t>
      </w:r>
      <w:r>
        <w:t xml:space="preserve"> from the boundary of any residential zoning district.  Data Centers shall be set back 500 feet from a </w:t>
      </w:r>
      <w:r w:rsidR="00572D83">
        <w:t>S</w:t>
      </w:r>
      <w:r>
        <w:t xml:space="preserve">ensitive </w:t>
      </w:r>
      <w:r w:rsidR="00572D83">
        <w:t>R</w:t>
      </w:r>
      <w:r>
        <w:t>eceptor</w:t>
      </w:r>
      <w:r w:rsidR="00572D83">
        <w:t xml:space="preserve"> as measured from the nearest principal building to the Sensitive Receptor</w:t>
      </w:r>
      <w:r>
        <w:t>.</w:t>
      </w:r>
    </w:p>
    <w:p w14:paraId="3F3EC950" w14:textId="6C1852C0" w:rsidR="00FE124A" w:rsidRPr="00572D83" w:rsidRDefault="00572D83" w:rsidP="003527E5">
      <w:pPr>
        <w:rPr>
          <w:color w:val="FF0000"/>
        </w:rPr>
      </w:pPr>
      <w:r w:rsidRPr="00572D83">
        <w:rPr>
          <w:b/>
          <w:bCs/>
          <w:color w:val="FF0000"/>
        </w:rPr>
        <w:t>Commentary</w:t>
      </w:r>
      <w:proofErr w:type="gramStart"/>
      <w:r w:rsidRPr="00572D83">
        <w:rPr>
          <w:b/>
          <w:bCs/>
          <w:color w:val="FF0000"/>
        </w:rPr>
        <w:t>:</w:t>
      </w:r>
      <w:r w:rsidRPr="00572D83">
        <w:rPr>
          <w:color w:val="FF0000"/>
        </w:rPr>
        <w:t xml:space="preserve">  </w:t>
      </w:r>
      <w:r w:rsidR="005014DC">
        <w:rPr>
          <w:color w:val="FF0000"/>
        </w:rPr>
        <w:t>A</w:t>
      </w:r>
      <w:proofErr w:type="gramEnd"/>
      <w:r w:rsidR="005014DC">
        <w:rPr>
          <w:color w:val="FF0000"/>
        </w:rPr>
        <w:t xml:space="preserve"> municipality</w:t>
      </w:r>
      <w:r w:rsidRPr="00572D83">
        <w:rPr>
          <w:color w:val="FF0000"/>
        </w:rPr>
        <w:t xml:space="preserve"> should </w:t>
      </w:r>
      <w:r w:rsidR="005014DC">
        <w:rPr>
          <w:color w:val="FF0000"/>
        </w:rPr>
        <w:t>consider</w:t>
      </w:r>
      <w:r w:rsidRPr="00572D83">
        <w:rPr>
          <w:color w:val="FF0000"/>
        </w:rPr>
        <w:t xml:space="preserve"> allowing individual property owners to waive setback</w:t>
      </w:r>
      <w:r>
        <w:rPr>
          <w:color w:val="FF0000"/>
        </w:rPr>
        <w:t xml:space="preserve"> requirements</w:t>
      </w:r>
      <w:r w:rsidRPr="00572D83">
        <w:rPr>
          <w:color w:val="FF0000"/>
        </w:rPr>
        <w:t xml:space="preserve">.  </w:t>
      </w:r>
      <w:r w:rsidR="00277585" w:rsidRPr="00572D83">
        <w:rPr>
          <w:color w:val="FF0000"/>
        </w:rPr>
        <w:t xml:space="preserve"> </w:t>
      </w:r>
    </w:p>
    <w:p w14:paraId="6BD468A8" w14:textId="21954095" w:rsidR="00FE124A" w:rsidRPr="003527E5" w:rsidRDefault="00494259" w:rsidP="00C16790">
      <w:pPr>
        <w:pStyle w:val="ListParagraph"/>
        <w:numPr>
          <w:ilvl w:val="0"/>
          <w:numId w:val="3"/>
        </w:numPr>
        <w:rPr>
          <w:b/>
          <w:bCs/>
          <w:i/>
          <w:iCs/>
          <w:color w:val="EE0000"/>
        </w:rPr>
      </w:pPr>
      <w:r>
        <w:t xml:space="preserve"> </w:t>
      </w:r>
      <w:r>
        <w:rPr>
          <w:b/>
          <w:bCs/>
          <w:i/>
          <w:iCs/>
        </w:rPr>
        <w:t xml:space="preserve">Dimensional </w:t>
      </w:r>
    </w:p>
    <w:p w14:paraId="1B961309" w14:textId="1DAD8664" w:rsidR="003527E5" w:rsidRPr="005014DC" w:rsidRDefault="003527E5" w:rsidP="005014DC">
      <w:r>
        <w:t xml:space="preserve">Except as otherwise provided in this Ordinance, Data Center shall follow the lot, lot coverage, and yard setbacks set forth in the zoning district.  For purposes of calculating lot size, internal lot lines under common control may be disregarded.  </w:t>
      </w:r>
    </w:p>
    <w:p w14:paraId="23090695" w14:textId="6BCB2842" w:rsidR="00803EC2" w:rsidRPr="00FF2969" w:rsidRDefault="00803EC2" w:rsidP="00C16790">
      <w:pPr>
        <w:pStyle w:val="ListParagraph"/>
        <w:numPr>
          <w:ilvl w:val="0"/>
          <w:numId w:val="3"/>
        </w:numPr>
        <w:rPr>
          <w:i/>
          <w:iCs/>
          <w:color w:val="EE0000"/>
        </w:rPr>
      </w:pPr>
      <w:r>
        <w:rPr>
          <w:b/>
          <w:bCs/>
          <w:i/>
          <w:iCs/>
        </w:rPr>
        <w:t>Landscape Buffers and Screening/Fencing.</w:t>
      </w:r>
    </w:p>
    <w:p w14:paraId="3BBF304E" w14:textId="4B54FF7E" w:rsidR="00FE124A" w:rsidRPr="00FE124A" w:rsidRDefault="00FE124A" w:rsidP="00A4629A">
      <w:r>
        <w:t>Option A:  Data Center shall comply with buffering and screening requirements applicable to the zoning district.</w:t>
      </w:r>
    </w:p>
    <w:p w14:paraId="7EA99AD7" w14:textId="1CA18BC6" w:rsidR="00FE124A" w:rsidRPr="00FE124A" w:rsidRDefault="00FE124A" w:rsidP="00A4629A">
      <w:r>
        <w:lastRenderedPageBreak/>
        <w:t>Option B:  A Data Center Applicant shall submit a landscaping plan for approval by the zoning officer.  Landscaping plan shall be designed to minimize impacts to Sensitive Receptors as well as public streets.  Landscaping, fencing, and screening should be kept in good condition over time, with prompt replacement of damaged or dead plantings.</w:t>
      </w:r>
    </w:p>
    <w:p w14:paraId="02770212" w14:textId="1D42ED63" w:rsidR="00FE124A" w:rsidRDefault="00FE124A" w:rsidP="00A4629A">
      <w:r>
        <w:t>Data Center Equipment and mechanical equipment shall be screened from view through screen walls or enclosures.  No Data Center Equipment shall be permitted in the front yard.</w:t>
      </w:r>
    </w:p>
    <w:p w14:paraId="6931F210" w14:textId="77E711C4" w:rsidR="00FE124A" w:rsidRPr="00FE124A" w:rsidRDefault="00FE124A" w:rsidP="00A4629A">
      <w:r>
        <w:t xml:space="preserve">Data Center shall be permitted to provide for 10 feet high security fencing.  </w:t>
      </w:r>
    </w:p>
    <w:p w14:paraId="14F24201" w14:textId="573CEEB8" w:rsidR="00803EC2" w:rsidRPr="00FF2969" w:rsidRDefault="00FE124A" w:rsidP="00803EC2">
      <w:pPr>
        <w:rPr>
          <w:b/>
          <w:bCs/>
          <w:i/>
          <w:iCs/>
        </w:rPr>
      </w:pPr>
      <w:r>
        <w:rPr>
          <w:color w:val="EE0000"/>
        </w:rPr>
        <w:t xml:space="preserve"> </w:t>
      </w:r>
      <w:r w:rsidRPr="00B80D6C">
        <w:rPr>
          <w:b/>
          <w:bCs/>
          <w:i/>
          <w:iCs/>
        </w:rPr>
        <w:t xml:space="preserve">E. </w:t>
      </w:r>
      <w:r>
        <w:rPr>
          <w:b/>
          <w:bCs/>
          <w:i/>
          <w:iCs/>
        </w:rPr>
        <w:t>Lighting.</w:t>
      </w:r>
    </w:p>
    <w:p w14:paraId="2CDAEB11" w14:textId="319CB15F" w:rsidR="00803EC2" w:rsidRDefault="00803EC2" w:rsidP="00803EC2">
      <w:r>
        <w:t>All exterior lighting shall: have a clear purpose; be fully shielded and directed downward; be no brighter than necessary; use controls (timers/motion sensors); and prefer warmer</w:t>
      </w:r>
      <w:r>
        <w:rPr>
          <w:rFonts w:ascii="Cambria Math" w:hAnsi="Cambria Math" w:cs="Cambria Math"/>
        </w:rPr>
        <w:t>‑</w:t>
      </w:r>
      <w:r>
        <w:t>color sources to limit short</w:t>
      </w:r>
      <w:r>
        <w:rPr>
          <w:rFonts w:ascii="Cambria Math" w:hAnsi="Cambria Math" w:cs="Cambria Math"/>
        </w:rPr>
        <w:t>‑</w:t>
      </w:r>
      <w:r>
        <w:t xml:space="preserve">wavelength emissions. A Lighting Plan shall show fixtures, shielding, photometrics at property lines, and light trespass controls. </w:t>
      </w:r>
    </w:p>
    <w:p w14:paraId="779948E1" w14:textId="2DB2C0A1" w:rsidR="005014DC" w:rsidRPr="005014DC" w:rsidRDefault="005014DC" w:rsidP="00803EC2">
      <w:pPr>
        <w:rPr>
          <w:color w:val="FF0000"/>
        </w:rPr>
      </w:pPr>
      <w:r w:rsidRPr="005014DC">
        <w:rPr>
          <w:b/>
          <w:bCs/>
          <w:color w:val="FF0000"/>
        </w:rPr>
        <w:t>Commentary</w:t>
      </w:r>
      <w:proofErr w:type="gramStart"/>
      <w:r w:rsidRPr="005014DC">
        <w:rPr>
          <w:b/>
          <w:bCs/>
          <w:color w:val="FF0000"/>
        </w:rPr>
        <w:t xml:space="preserve">: </w:t>
      </w:r>
      <w:r w:rsidRPr="005014DC">
        <w:rPr>
          <w:color w:val="FF0000"/>
        </w:rPr>
        <w:t xml:space="preserve"> Lighting</w:t>
      </w:r>
      <w:proofErr w:type="gramEnd"/>
      <w:r w:rsidRPr="005014DC">
        <w:rPr>
          <w:color w:val="FF0000"/>
        </w:rPr>
        <w:t xml:space="preserve"> requirements should be consistent with the current zoning for similarly situated industrial or commercial uses.  </w:t>
      </w:r>
    </w:p>
    <w:p w14:paraId="45B131A4" w14:textId="77777777" w:rsidR="0074451D" w:rsidRDefault="0074451D" w:rsidP="0074451D">
      <w:pPr>
        <w:rPr>
          <w:b/>
          <w:bCs/>
          <w:i/>
          <w:iCs/>
        </w:rPr>
      </w:pPr>
      <w:r>
        <w:rPr>
          <w:b/>
          <w:bCs/>
          <w:i/>
          <w:iCs/>
        </w:rPr>
        <w:t>F. Aesthetics.</w:t>
      </w:r>
    </w:p>
    <w:p w14:paraId="1D1BF8F6" w14:textId="42391A7C" w:rsidR="0074451D" w:rsidRPr="002B6522" w:rsidRDefault="0074451D" w:rsidP="0074451D">
      <w:r>
        <w:rPr>
          <w:color w:val="EE0000"/>
        </w:rPr>
        <w:t xml:space="preserve"> </w:t>
      </w:r>
      <w:r>
        <w:t>Encourage basic façade articulation, such as material variation, parapets, or modest recesses, on sides facing public streets, along with the use of durable, non</w:t>
      </w:r>
      <w:r>
        <w:rPr>
          <w:rFonts w:ascii="Cambria Math" w:hAnsi="Cambria Math" w:cs="Cambria Math"/>
        </w:rPr>
        <w:t>‑</w:t>
      </w:r>
      <w:r>
        <w:t>reflective exterior materials.  An architectural plan shall be submitted to the zoning officer as part of the land development application</w:t>
      </w:r>
    </w:p>
    <w:p w14:paraId="3D100FEC" w14:textId="77777777" w:rsidR="0074451D" w:rsidRDefault="0074451D" w:rsidP="0074451D">
      <w:r>
        <w:t>Alternative Compliance: Allow applicants to propose equivalent or better design solutions that achieve the same visual intent, giving municipalities flexibility and preventing the ordinance from becoming overly restrictive.</w:t>
      </w:r>
    </w:p>
    <w:p w14:paraId="57CDE1B1" w14:textId="3F992B20" w:rsidR="005014DC" w:rsidRPr="005014DC" w:rsidRDefault="005014DC" w:rsidP="0074451D">
      <w:pPr>
        <w:rPr>
          <w:color w:val="FF0000"/>
        </w:rPr>
      </w:pPr>
      <w:r w:rsidRPr="005014DC">
        <w:rPr>
          <w:b/>
          <w:bCs/>
          <w:color w:val="FF0000"/>
        </w:rPr>
        <w:t>Commentary</w:t>
      </w:r>
      <w:proofErr w:type="gramStart"/>
      <w:r w:rsidRPr="005014DC">
        <w:rPr>
          <w:b/>
          <w:bCs/>
          <w:color w:val="FF0000"/>
        </w:rPr>
        <w:t xml:space="preserve">: </w:t>
      </w:r>
      <w:r w:rsidRPr="005014DC">
        <w:rPr>
          <w:color w:val="FF0000"/>
        </w:rPr>
        <w:t xml:space="preserve"> </w:t>
      </w:r>
      <w:r>
        <w:rPr>
          <w:color w:val="FF0000"/>
        </w:rPr>
        <w:t>Aesthetics</w:t>
      </w:r>
      <w:proofErr w:type="gramEnd"/>
      <w:r>
        <w:rPr>
          <w:color w:val="FF0000"/>
        </w:rPr>
        <w:t xml:space="preserve"> </w:t>
      </w:r>
      <w:r w:rsidRPr="005014DC">
        <w:rPr>
          <w:color w:val="FF0000"/>
        </w:rPr>
        <w:t xml:space="preserve">requirements should be consistent with the current zoning for similarly situated industrial or commercial uses.  </w:t>
      </w:r>
    </w:p>
    <w:p w14:paraId="65B7D5C9" w14:textId="77777777" w:rsidR="00803EC2" w:rsidRPr="00FF2969" w:rsidRDefault="00803EC2" w:rsidP="00803EC2">
      <w:pPr>
        <w:rPr>
          <w:b/>
          <w:bCs/>
        </w:rPr>
      </w:pPr>
      <w:r>
        <w:rPr>
          <w:b/>
          <w:bCs/>
        </w:rPr>
        <w:t>Section 5. Performance Standards.</w:t>
      </w:r>
    </w:p>
    <w:p w14:paraId="589175A8" w14:textId="6022D11D" w:rsidR="00803EC2" w:rsidRPr="00FF2969" w:rsidRDefault="00803EC2" w:rsidP="00803EC2">
      <w:pPr>
        <w:rPr>
          <w:b/>
          <w:bCs/>
          <w:i/>
          <w:iCs/>
        </w:rPr>
      </w:pPr>
      <w:r>
        <w:rPr>
          <w:b/>
          <w:bCs/>
          <w:i/>
          <w:iCs/>
        </w:rPr>
        <w:t>A. Noise</w:t>
      </w:r>
    </w:p>
    <w:p w14:paraId="32A2AB87" w14:textId="2EC61205" w:rsidR="00526CC9" w:rsidRDefault="00803EC2" w:rsidP="00803EC2">
      <w:r>
        <w:t xml:space="preserve">Sound from normal operations shall not exceed 60 dBA daytime (7:00 a.m. </w:t>
      </w:r>
      <w:r>
        <w:rPr>
          <w:rFonts w:cs="Aptos"/>
        </w:rPr>
        <w:t>–</w:t>
      </w:r>
      <w:r>
        <w:t>9 p.m. Mon</w:t>
      </w:r>
      <w:r>
        <w:rPr>
          <w:rFonts w:cs="Aptos"/>
        </w:rPr>
        <w:t>–</w:t>
      </w:r>
      <w:r>
        <w:t>Fri) and 55 dBA nighttime/weekends measured at the property line, per ANSI S1.4</w:t>
      </w:r>
      <w:r>
        <w:rPr>
          <w:rFonts w:ascii="Cambria Math" w:hAnsi="Cambria Math" w:cs="Cambria Math"/>
        </w:rPr>
        <w:t>‑</w:t>
      </w:r>
      <w:r>
        <w:t xml:space="preserve">2014 (or successor).  </w:t>
      </w:r>
      <w:r>
        <w:rPr>
          <w:rFonts w:cs="Times New Roman"/>
        </w:rPr>
        <w:t xml:space="preserve">Sound shall be measured 1.5 meters above ground at the property line per ANSI S1.13-2020 (American National Standard – Measurement of Sound Pressure Levels in Air).  The developer will provide a sound assessment with its preliminary land development plan application for a data center or preliminary master plan application for a data center </w:t>
      </w:r>
      <w:r>
        <w:rPr>
          <w:rFonts w:cs="Times New Roman"/>
        </w:rPr>
        <w:lastRenderedPageBreak/>
        <w:t>campus establishing how it will comply with the above sound standards. The sound assessment will be performed by a professional acoustic engineer that can demonstrate qualifications by delivery of a resume to the Zoning Officer.   Notwithstanding the foregoing provisions of this Section, all sound produced by: (i) required periodic testing of data center equipment, and (ii) emergency use of data center equipment are exempt from the requirements of this Section and the Zoning Ordinance.  A “as-built” sound study shall be submitted to the Township within 6 months of receipt of final certificate of occupancy for each Data Center or for the final certificate of occupancy issued for each phase of a Data Center Campus.</w:t>
      </w:r>
    </w:p>
    <w:p w14:paraId="6A4F0AEC" w14:textId="77777777" w:rsidR="00803EC2" w:rsidRPr="007F6C3A" w:rsidRDefault="00803EC2" w:rsidP="00803EC2">
      <w:pPr>
        <w:rPr>
          <w:b/>
          <w:bCs/>
          <w:i/>
          <w:iCs/>
        </w:rPr>
      </w:pPr>
      <w:r>
        <w:rPr>
          <w:b/>
          <w:bCs/>
          <w:i/>
          <w:iCs/>
        </w:rPr>
        <w:t>B. Water and Wastewater.</w:t>
      </w:r>
    </w:p>
    <w:p w14:paraId="60513B39" w14:textId="53A316BA" w:rsidR="005014DC" w:rsidRDefault="005014DC" w:rsidP="00803EC2">
      <w:r w:rsidRPr="005014DC">
        <w:rPr>
          <w:b/>
          <w:bCs/>
        </w:rPr>
        <w:t xml:space="preserve">Public Sources. </w:t>
      </w:r>
      <w:r>
        <w:t xml:space="preserve"> Applicant shall provide </w:t>
      </w:r>
      <w:r w:rsidR="00803EC2">
        <w:t>“will</w:t>
      </w:r>
      <w:r w:rsidR="00803EC2">
        <w:rPr>
          <w:rFonts w:ascii="Cambria Math" w:hAnsi="Cambria Math" w:cs="Cambria Math"/>
        </w:rPr>
        <w:t>‑</w:t>
      </w:r>
      <w:r w:rsidR="00803EC2">
        <w:t>serve</w:t>
      </w:r>
      <w:r w:rsidR="00803EC2">
        <w:rPr>
          <w:rFonts w:ascii="Aptos" w:hAnsi="Aptos" w:cs="Aptos"/>
        </w:rPr>
        <w:t>”</w:t>
      </w:r>
      <w:r w:rsidR="00803EC2">
        <w:t xml:space="preserve"> documentation from </w:t>
      </w:r>
      <w:r w:rsidR="00A504E8">
        <w:t xml:space="preserve">the applicable </w:t>
      </w:r>
      <w:r w:rsidR="00803EC2">
        <w:t>water/sewer providers confirming adequate capacity.</w:t>
      </w:r>
      <w:r w:rsidR="00A504E8">
        <w:t xml:space="preserve">  Alternatively, where applicable if withdrawing from a public water source, Applicants shall provide approvals from the applicable federal or state regulatory authority.</w:t>
      </w:r>
      <w:r>
        <w:t xml:space="preserve"> </w:t>
      </w:r>
    </w:p>
    <w:p w14:paraId="1696F76D" w14:textId="508B8C4C" w:rsidR="00803EC2" w:rsidRDefault="00803EC2" w:rsidP="00803EC2">
      <w:r w:rsidRPr="005014DC">
        <w:rPr>
          <w:b/>
          <w:bCs/>
        </w:rPr>
        <w:t>Non</w:t>
      </w:r>
      <w:r w:rsidRPr="005014DC">
        <w:rPr>
          <w:rFonts w:ascii="Cambria Math" w:hAnsi="Cambria Math" w:cs="Cambria Math"/>
          <w:b/>
          <w:bCs/>
        </w:rPr>
        <w:t>‑</w:t>
      </w:r>
      <w:r w:rsidRPr="005014DC">
        <w:rPr>
          <w:b/>
          <w:bCs/>
        </w:rPr>
        <w:t>public sources.</w:t>
      </w:r>
      <w:r>
        <w:t xml:space="preserve"> If relying on non</w:t>
      </w:r>
      <w:r>
        <w:rPr>
          <w:rFonts w:ascii="Cambria Math" w:hAnsi="Cambria Math" w:cs="Cambria Math"/>
        </w:rPr>
        <w:t>‑</w:t>
      </w:r>
      <w:r>
        <w:t xml:space="preserve">public water, </w:t>
      </w:r>
      <w:r w:rsidR="00A504E8">
        <w:t xml:space="preserve">Applicant shall </w:t>
      </w:r>
      <w:r>
        <w:t xml:space="preserve">submit a water feasibility study addressing projected demand, source, reuse, and effects on nearby wells/surface waters.  </w:t>
      </w:r>
    </w:p>
    <w:p w14:paraId="513006B6" w14:textId="6AE20FE2" w:rsidR="00803EC2" w:rsidRPr="00122B5B" w:rsidRDefault="00803EC2" w:rsidP="00803EC2">
      <w:pPr>
        <w:rPr>
          <w:b/>
          <w:bCs/>
          <w:i/>
          <w:iCs/>
        </w:rPr>
      </w:pPr>
      <w:r>
        <w:rPr>
          <w:b/>
          <w:bCs/>
          <w:i/>
          <w:iCs/>
        </w:rPr>
        <w:t>C. Power Supply and Grid Coordination.</w:t>
      </w:r>
    </w:p>
    <w:p w14:paraId="1A0BA6FB" w14:textId="73AF6229" w:rsidR="00803EC2" w:rsidRDefault="00A504E8" w:rsidP="00803EC2">
      <w:proofErr w:type="gramStart"/>
      <w:r>
        <w:t>Applicant</w:t>
      </w:r>
      <w:proofErr w:type="gramEnd"/>
      <w:r>
        <w:t xml:space="preserve"> shall p</w:t>
      </w:r>
      <w:r w:rsidR="00803EC2">
        <w:t xml:space="preserve">rovide documentation from the </w:t>
      </w:r>
      <w:r>
        <w:t xml:space="preserve">public </w:t>
      </w:r>
      <w:r w:rsidR="00803EC2">
        <w:t>electric service provider confirming available capacity and service commitment</w:t>
      </w:r>
      <w:r>
        <w:t xml:space="preserve">.  </w:t>
      </w:r>
      <w:proofErr w:type="gramStart"/>
      <w:r>
        <w:t>Applicant</w:t>
      </w:r>
      <w:proofErr w:type="gramEnd"/>
      <w:r>
        <w:t xml:space="preserve"> shall identify </w:t>
      </w:r>
      <w:r w:rsidR="00803EC2">
        <w:t>any known direct project</w:t>
      </w:r>
      <w:r w:rsidR="00803EC2">
        <w:rPr>
          <w:rFonts w:ascii="Cambria Math" w:hAnsi="Cambria Math" w:cs="Cambria Math"/>
        </w:rPr>
        <w:t>‑</w:t>
      </w:r>
      <w:r w:rsidR="00803EC2">
        <w:t xml:space="preserve">related impacts on local availability that require mitigation. </w:t>
      </w:r>
    </w:p>
    <w:p w14:paraId="632E29D6" w14:textId="77777777" w:rsidR="00526CC9" w:rsidRDefault="00526CC9" w:rsidP="00526CC9">
      <w:r>
        <w:t xml:space="preserve">Emergency/Standby Generation and uninterruptible power supply systems are permitted as Accessory Uses subject to </w:t>
      </w:r>
      <w:r>
        <w:rPr>
          <w:i/>
          <w:iCs/>
        </w:rPr>
        <w:t>(subsection on performance standards)</w:t>
      </w:r>
      <w:r>
        <w:t>.</w:t>
      </w:r>
    </w:p>
    <w:p w14:paraId="7D07CFAE" w14:textId="2E5956E1" w:rsidR="00526CC9" w:rsidRDefault="00526CC9" w:rsidP="00526CC9">
      <w:r>
        <w:t>Non</w:t>
      </w:r>
      <w:r>
        <w:rPr>
          <w:rFonts w:ascii="Cambria Math" w:hAnsi="Cambria Math" w:cs="Cambria Math"/>
        </w:rPr>
        <w:t>‑</w:t>
      </w:r>
      <w:r>
        <w:t>emergency on</w:t>
      </w:r>
      <w:r>
        <w:rPr>
          <w:rFonts w:ascii="Cambria Math" w:hAnsi="Cambria Math" w:cs="Cambria Math"/>
        </w:rPr>
        <w:t>‑</w:t>
      </w:r>
      <w:r>
        <w:t xml:space="preserve">site generation (e.g., solar, fuel cells, CHP) is permitted as an Accessory Use when not the primary power source and when compliant with all applicable air/water and electrical interconnection standards; otherwise, it shall be regulated under provisions for that generation use. </w:t>
      </w:r>
      <w:r w:rsidR="00A504E8">
        <w:t xml:space="preserve"> </w:t>
      </w:r>
    </w:p>
    <w:p w14:paraId="64AF6F89" w14:textId="361DDD50" w:rsidR="00A504E8" w:rsidRDefault="00A504E8" w:rsidP="00526CC9">
      <w:proofErr w:type="gramStart"/>
      <w:r>
        <w:t>Applicant</w:t>
      </w:r>
      <w:proofErr w:type="gramEnd"/>
      <w:r>
        <w:t xml:space="preserve"> shall provide all necessary federal and state permits related to emergency/standby or non-emergency on-site generation prior to construction of buildings.</w:t>
      </w:r>
    </w:p>
    <w:p w14:paraId="10545CF8" w14:textId="77777777" w:rsidR="00F16B42" w:rsidRDefault="00F16B42" w:rsidP="00803EC2">
      <w:pPr>
        <w:rPr>
          <w:rFonts w:eastAsia="Times New Roman" w:cs="Times New Roman"/>
        </w:rPr>
      </w:pPr>
      <w:r>
        <w:rPr>
          <w:rFonts w:eastAsia="Times New Roman" w:cs="Times New Roman"/>
        </w:rPr>
        <w:t xml:space="preserve">To the extent practical, utility lines, including but not limited to electronic, fiber optic, cable, and telephone lines, from sub-station(s) to a data center shall be placed under-ground.  This requirement shall not apply if the utility company requires above-ground lines </w:t>
      </w:r>
      <w:r>
        <w:rPr>
          <w:rFonts w:eastAsia="Times New Roman" w:cs="Times New Roman"/>
        </w:rPr>
        <w:lastRenderedPageBreak/>
        <w:t>or the placement of under-ground lines is not feasible.  Utility lines to the substations from off-site may be placed above-ground.</w:t>
      </w:r>
    </w:p>
    <w:p w14:paraId="5EAF55A8" w14:textId="52579181" w:rsidR="00803EC2" w:rsidRPr="00065D6F" w:rsidRDefault="00F16B42" w:rsidP="00803EC2">
      <w:pPr>
        <w:rPr>
          <w:b/>
          <w:bCs/>
          <w:i/>
          <w:iCs/>
        </w:rPr>
      </w:pPr>
      <w:r>
        <w:rPr>
          <w:rFonts w:eastAsia="Times New Roman" w:cs="Times New Roman"/>
        </w:rPr>
        <w:t xml:space="preserve"> </w:t>
      </w:r>
      <w:r>
        <w:rPr>
          <w:b/>
          <w:bCs/>
          <w:i/>
          <w:iCs/>
        </w:rPr>
        <w:t>D. Emergency Management and Safety.</w:t>
      </w:r>
    </w:p>
    <w:p w14:paraId="0775EED8" w14:textId="6C53070D" w:rsidR="00803EC2" w:rsidRPr="00F16B42" w:rsidRDefault="00F16B42" w:rsidP="00803EC2">
      <w:proofErr w:type="gramStart"/>
      <w:r>
        <w:t>Applicant</w:t>
      </w:r>
      <w:proofErr w:type="gramEnd"/>
      <w:r>
        <w:t xml:space="preserve"> shall submit an Emergency Response Plan (ERP) prepared by a qualified professional for review with local fire/emergency officials; </w:t>
      </w:r>
      <w:proofErr w:type="gramStart"/>
      <w:r>
        <w:t>include</w:t>
      </w:r>
      <w:proofErr w:type="gramEnd"/>
      <w:r>
        <w:t xml:space="preserve"> responder access, hydrant locations, system shutdown protocols, and training commitments. ESS installations shall demonstrate compliance with NFPA 855 and include appropriate fire suppression.   Local fire/emergency shall submit a writing to the [municipality] indicating compliance with this requirement before building permits are issued.   </w:t>
      </w:r>
    </w:p>
    <w:p w14:paraId="52587BA8" w14:textId="77777777" w:rsidR="00803EC2" w:rsidRPr="0049644A" w:rsidRDefault="00803EC2" w:rsidP="00803EC2">
      <w:pPr>
        <w:rPr>
          <w:b/>
          <w:bCs/>
          <w:i/>
          <w:iCs/>
        </w:rPr>
      </w:pPr>
      <w:r>
        <w:rPr>
          <w:b/>
          <w:bCs/>
          <w:i/>
          <w:iCs/>
        </w:rPr>
        <w:t>E. Traffic, Circulation, and Parking.</w:t>
      </w:r>
    </w:p>
    <w:p w14:paraId="447C7889" w14:textId="19695206" w:rsidR="00F16B42" w:rsidRDefault="00F16B42" w:rsidP="00F16B42">
      <w:pPr>
        <w:jc w:val="both"/>
        <w:rPr>
          <w:rFonts w:cs="Times New Roman"/>
        </w:rPr>
      </w:pPr>
      <w:r w:rsidRPr="00B80D6C">
        <w:rPr>
          <w:rFonts w:eastAsia="Times New Roman" w:cs="Times New Roman"/>
        </w:rPr>
        <w:t xml:space="preserve">Parking:  A minimum of 40 spaces per each data center shall be provided; provided that, the minimum parking for a data center campus may be reached by aggregating all parking on a data center campus site.  </w:t>
      </w:r>
      <w:r w:rsidRPr="00B80D6C">
        <w:rPr>
          <w:rFonts w:cs="Times New Roman"/>
        </w:rPr>
        <w:t xml:space="preserve">No </w:t>
      </w:r>
      <w:proofErr w:type="gramStart"/>
      <w:r w:rsidRPr="00B80D6C">
        <w:rPr>
          <w:rFonts w:cs="Times New Roman"/>
        </w:rPr>
        <w:t>parking</w:t>
      </w:r>
      <w:proofErr w:type="gramEnd"/>
      <w:r w:rsidRPr="00B80D6C">
        <w:rPr>
          <w:rFonts w:cs="Times New Roman"/>
        </w:rPr>
        <w:t xml:space="preserve"> for a data center shall be located within fifty (50) feet of a property line abutting a residential district or having a residential use.</w:t>
      </w:r>
      <w:r w:rsidR="00B80D6C">
        <w:rPr>
          <w:rFonts w:cs="Times New Roman"/>
        </w:rPr>
        <w:t xml:space="preserve">  </w:t>
      </w:r>
    </w:p>
    <w:p w14:paraId="58BA192D" w14:textId="37383F48" w:rsidR="00B80D6C" w:rsidRPr="00B80D6C" w:rsidRDefault="00B80D6C" w:rsidP="00F16B42">
      <w:pPr>
        <w:jc w:val="both"/>
        <w:rPr>
          <w:rFonts w:eastAsia="Times New Roman" w:cs="Times New Roman"/>
          <w:b/>
          <w:bCs/>
        </w:rPr>
      </w:pPr>
      <w:r w:rsidRPr="00080550">
        <w:rPr>
          <w:rFonts w:cs="Times New Roman"/>
          <w:b/>
          <w:bCs/>
          <w:color w:val="FF0000"/>
        </w:rPr>
        <w:t>Commentary</w:t>
      </w:r>
      <w:r w:rsidRPr="00B80D6C">
        <w:rPr>
          <w:rFonts w:cs="Times New Roman"/>
          <w:color w:val="FF0000"/>
        </w:rPr>
        <w:t>:</w:t>
      </w:r>
      <w:r w:rsidR="00080550">
        <w:rPr>
          <w:rFonts w:cs="Times New Roman"/>
          <w:color w:val="FF0000"/>
        </w:rPr>
        <w:t xml:space="preserve"> </w:t>
      </w:r>
      <w:r w:rsidRPr="00B80D6C">
        <w:rPr>
          <w:rFonts w:cs="Times New Roman"/>
          <w:color w:val="FF0000"/>
        </w:rPr>
        <w:t xml:space="preserve">An appropriate </w:t>
      </w:r>
      <w:proofErr w:type="gramStart"/>
      <w:r w:rsidRPr="00B80D6C">
        <w:rPr>
          <w:rFonts w:cs="Times New Roman"/>
          <w:color w:val="FF0000"/>
        </w:rPr>
        <w:t>alternative parking</w:t>
      </w:r>
      <w:proofErr w:type="gramEnd"/>
      <w:r w:rsidRPr="00B80D6C">
        <w:rPr>
          <w:rFonts w:cs="Times New Roman"/>
          <w:color w:val="FF0000"/>
        </w:rPr>
        <w:t xml:space="preserve"> would be 1 parking space for each employee on the maximum shift</w:t>
      </w:r>
      <w:r>
        <w:rPr>
          <w:rFonts w:cs="Times New Roman"/>
          <w:color w:val="FF0000"/>
        </w:rPr>
        <w:t>.  Parking should incorporate the municipality’s standards for ADA/handicap accessible spaces</w:t>
      </w:r>
      <w:r w:rsidRPr="00B80D6C">
        <w:rPr>
          <w:rFonts w:cs="Times New Roman"/>
          <w:color w:val="FF0000"/>
        </w:rPr>
        <w:t xml:space="preserve">. </w:t>
      </w:r>
      <w:r w:rsidRPr="00B80D6C">
        <w:rPr>
          <w:rFonts w:eastAsia="Times New Roman" w:cs="Times New Roman"/>
          <w:b/>
          <w:bCs/>
        </w:rPr>
        <w:t xml:space="preserve"> </w:t>
      </w:r>
    </w:p>
    <w:p w14:paraId="63AF9212" w14:textId="50536C65" w:rsidR="00803EC2" w:rsidRPr="00B80D6C" w:rsidRDefault="00F16B42" w:rsidP="00803EC2">
      <w:r w:rsidRPr="00B80D6C">
        <w:rPr>
          <w:rFonts w:eastAsia="Times New Roman" w:cs="Times New Roman"/>
          <w:b/>
          <w:bCs/>
        </w:rPr>
        <w:t>Off Street Loading</w:t>
      </w:r>
      <w:proofErr w:type="gramStart"/>
      <w:r w:rsidRPr="00B80D6C">
        <w:rPr>
          <w:rFonts w:eastAsia="Times New Roman" w:cs="Times New Roman"/>
        </w:rPr>
        <w:t>:  A</w:t>
      </w:r>
      <w:proofErr w:type="gramEnd"/>
      <w:r w:rsidRPr="00B80D6C">
        <w:rPr>
          <w:rFonts w:eastAsia="Times New Roman" w:cs="Times New Roman"/>
        </w:rPr>
        <w:t xml:space="preserve"> minimum of 1 off-street loading space/dock shall be provided for a data center. </w:t>
      </w:r>
    </w:p>
    <w:p w14:paraId="445BD58C" w14:textId="28D450AF" w:rsidR="00803EC2" w:rsidRPr="00EE3E21" w:rsidRDefault="00803EC2" w:rsidP="00803EC2">
      <w:pPr>
        <w:rPr>
          <w:b/>
          <w:bCs/>
        </w:rPr>
      </w:pPr>
      <w:r>
        <w:rPr>
          <w:b/>
          <w:bCs/>
        </w:rPr>
        <w:t xml:space="preserve">Section 6. Submittals and Review Procedure. </w:t>
      </w:r>
    </w:p>
    <w:p w14:paraId="1F41F254" w14:textId="283A69B4" w:rsidR="009107C6" w:rsidRPr="00572D83" w:rsidRDefault="009107C6" w:rsidP="009107C6">
      <w:r>
        <w:t>Option A -Streamlined Review:  By</w:t>
      </w:r>
      <w:r>
        <w:rPr>
          <w:rFonts w:ascii="Cambria Math" w:hAnsi="Cambria Math" w:cs="Cambria Math"/>
        </w:rPr>
        <w:t>‑</w:t>
      </w:r>
      <w:r>
        <w:t>right in industrial districts with administrative site plan review.</w:t>
      </w:r>
      <w:r>
        <w:rPr>
          <w:color w:val="00B050"/>
        </w:rPr>
        <w:t xml:space="preserve"> </w:t>
      </w:r>
      <w:r w:rsidRPr="00572D83">
        <w:t>The applicant shall submit a site plan application to the Zoning Officer including all submittals required under Sections 4 and 5 of this Ordinance. The Zoning Officer shall review for completeness within 15 business days and issue approval, approval with conditions, or denial in writing. No public hearing is required. This path is recommended for by-right data center uses in General Industrial or Light Industrial districts.</w:t>
      </w:r>
    </w:p>
    <w:p w14:paraId="770590DA" w14:textId="0AA49285" w:rsidR="009107C6" w:rsidRPr="00572D83" w:rsidRDefault="009107C6" w:rsidP="009107C6">
      <w:r>
        <w:t>Option B- Conditional Use Review:  For projects near “community service use” or reuse sites with complex access.</w:t>
      </w:r>
      <w:r>
        <w:rPr>
          <w:color w:val="00B050"/>
        </w:rPr>
        <w:t xml:space="preserve"> </w:t>
      </w:r>
      <w:r w:rsidRPr="00572D83">
        <w:t>The applicant shall file a conditional use application with the [Governing Body] or [Planning Commission] as designated by local ordinance. A public hearing shall be held with notice provided in accordance with the MPC. The [Governing Body] shall impose reasonable conditions to address traffic, noise, screening, and emergency management consistent with the standards of this Ordinance. Approval shall be granted unless the applicant fails to demonstrate compliance with applicable performance standards.</w:t>
      </w:r>
    </w:p>
    <w:p w14:paraId="3D98AE46" w14:textId="72D7BFE0" w:rsidR="009107C6" w:rsidRPr="00572D83" w:rsidRDefault="009107C6" w:rsidP="009107C6">
      <w:r>
        <w:lastRenderedPageBreak/>
        <w:t>Option C — Master Plan or Campus Option</w:t>
      </w:r>
      <w:r w:rsidR="00572D83">
        <w:t>:</w:t>
      </w:r>
      <w:r>
        <w:rPr>
          <w:color w:val="00B050"/>
        </w:rPr>
        <w:t xml:space="preserve"> </w:t>
      </w:r>
      <w:r w:rsidRPr="00572D83">
        <w:t xml:space="preserve">An applicant proposing a Data Center Campus of two or more buildings or a phased development on a single tract or assemblage may elect to submit a Data Center Campus Master Plan in lieu of individual site plan applications. The Master Plan shall depict the overall development envelope, phasing schedule, utility corridors, stormwater management strategy, and access plan. Upon approval of the Master Plan by the [Governing Body/Planning Commission], individual phases may be reviewed administratively under Option A provided each phase is consistent with the approved Master Plan. Master Plan approval shall vest for [5] years </w:t>
      </w:r>
      <w:proofErr w:type="gramStart"/>
      <w:r w:rsidRPr="00572D83">
        <w:t>with  [</w:t>
      </w:r>
      <w:proofErr w:type="gramEnd"/>
      <w:r w:rsidRPr="00572D83">
        <w:t>2]-year extension</w:t>
      </w:r>
      <w:r w:rsidR="00572D83">
        <w:t>(s)</w:t>
      </w:r>
      <w:r w:rsidRPr="00572D83">
        <w:t xml:space="preserve"> available upon request</w:t>
      </w:r>
      <w:r w:rsidR="00572D83">
        <w:t xml:space="preserve"> which consent to the request shall not be unreasonably conditional, withheld or delayed.</w:t>
      </w:r>
    </w:p>
    <w:p w14:paraId="225DDA1E" w14:textId="19C6D48E" w:rsidR="00803EC2" w:rsidRPr="00D22FF9" w:rsidRDefault="00803EC2" w:rsidP="00803EC2">
      <w:pPr>
        <w:rPr>
          <w:b/>
          <w:bCs/>
        </w:rPr>
      </w:pPr>
      <w:r>
        <w:rPr>
          <w:b/>
          <w:bCs/>
        </w:rPr>
        <w:t>Section 7. Administrative Flexibility; Alternative Compliance.</w:t>
      </w:r>
    </w:p>
    <w:p w14:paraId="05856487" w14:textId="0AF196D1" w:rsidR="00803EC2" w:rsidRDefault="00803EC2" w:rsidP="00803EC2">
      <w:r>
        <w:t>Alternative Compliance. The Zoning Officer or [Decision</w:t>
      </w:r>
      <w:r>
        <w:rPr>
          <w:rFonts w:ascii="Cambria Math" w:hAnsi="Cambria Math" w:cs="Cambria Math"/>
        </w:rPr>
        <w:t>‑</w:t>
      </w:r>
      <w:r>
        <w:t>Making Body] may approve equivalent or superior alternatives (i.e., different buffer configurations, innovative enclosures, advanced low</w:t>
      </w:r>
      <w:r>
        <w:rPr>
          <w:rFonts w:ascii="Cambria Math" w:hAnsi="Cambria Math" w:cs="Cambria Math"/>
        </w:rPr>
        <w:t>‑</w:t>
      </w:r>
      <w:r>
        <w:t xml:space="preserve">noise cooling) that meet or exceed the intent of </w:t>
      </w:r>
      <w:r>
        <w:rPr>
          <w:rFonts w:ascii="Aptos" w:hAnsi="Aptos" w:cs="Aptos"/>
        </w:rPr>
        <w:t>performance standards section</w:t>
      </w:r>
      <w:r>
        <w:t>, based on a qualified professional</w:t>
      </w:r>
      <w:r>
        <w:rPr>
          <w:rFonts w:ascii="Aptos" w:hAnsi="Aptos" w:cs="Aptos"/>
        </w:rPr>
        <w:t>’</w:t>
      </w:r>
      <w:r>
        <w:t xml:space="preserve">s certification. </w:t>
      </w:r>
    </w:p>
    <w:p w14:paraId="44AADE45" w14:textId="4ABBB755" w:rsidR="00505B58" w:rsidRPr="00F16B42" w:rsidRDefault="00505B58" w:rsidP="00505B58">
      <w:pPr>
        <w:rPr>
          <w:color w:val="000000" w:themeColor="text1"/>
        </w:rPr>
      </w:pPr>
      <w:r>
        <w:rPr>
          <w:color w:val="000000" w:themeColor="text1"/>
        </w:rPr>
        <w:t>Option A- Equivalent or Better Mitigation (Default): Allows innovative screening, noise solutions, or materials in place of prescriptive designs.</w:t>
      </w:r>
    </w:p>
    <w:p w14:paraId="58FA286F" w14:textId="47E2ECB2" w:rsidR="00505B58" w:rsidRDefault="00505B58" w:rsidP="00505B58">
      <w:pPr>
        <w:rPr>
          <w:color w:val="000000" w:themeColor="text1"/>
        </w:rPr>
      </w:pPr>
      <w:r>
        <w:rPr>
          <w:color w:val="000000" w:themeColor="text1"/>
        </w:rPr>
        <w:t>Option B- Case</w:t>
      </w:r>
      <w:r>
        <w:rPr>
          <w:rFonts w:ascii="Cambria Math" w:hAnsi="Cambria Math" w:cs="Cambria Math"/>
          <w:color w:val="000000" w:themeColor="text1"/>
        </w:rPr>
        <w:t>‑</w:t>
      </w:r>
      <w:r>
        <w:rPr>
          <w:color w:val="000000" w:themeColor="text1"/>
        </w:rPr>
        <w:t>by</w:t>
      </w:r>
      <w:r>
        <w:rPr>
          <w:rFonts w:ascii="Cambria Math" w:hAnsi="Cambria Math" w:cs="Cambria Math"/>
          <w:color w:val="000000" w:themeColor="text1"/>
        </w:rPr>
        <w:t>‑</w:t>
      </w:r>
      <w:r>
        <w:rPr>
          <w:color w:val="000000" w:themeColor="text1"/>
        </w:rPr>
        <w:t>Case Administrative Adjustments:  Zoning Officer may approve minor modifications.</w:t>
      </w:r>
    </w:p>
    <w:p w14:paraId="07B17C21" w14:textId="725E9CB3" w:rsidR="00B8257F" w:rsidRPr="003640A2" w:rsidRDefault="00B8257F" w:rsidP="00505B58">
      <w:pPr>
        <w:rPr>
          <w:color w:val="FF0000"/>
        </w:rPr>
      </w:pPr>
      <w:r w:rsidRPr="003640A2">
        <w:rPr>
          <w:b/>
          <w:bCs/>
          <w:color w:val="FF0000"/>
        </w:rPr>
        <w:t>Comment</w:t>
      </w:r>
      <w:r w:rsidR="007E6BF0" w:rsidRPr="003640A2">
        <w:rPr>
          <w:b/>
          <w:bCs/>
          <w:color w:val="FF0000"/>
        </w:rPr>
        <w:t xml:space="preserve">ary: </w:t>
      </w:r>
      <w:r w:rsidR="003640A2" w:rsidRPr="003640A2">
        <w:rPr>
          <w:color w:val="FF0000"/>
        </w:rPr>
        <w:t>The municipality should make value choices as to how to distinguish between minor and major modifications.  Some considerations include but are not limited to square footage, impervious area, and storm water</w:t>
      </w:r>
      <w:r w:rsidR="003640A2">
        <w:rPr>
          <w:color w:val="FF0000"/>
        </w:rPr>
        <w:t>.</w:t>
      </w:r>
      <w:r w:rsidR="003640A2" w:rsidRPr="003640A2">
        <w:rPr>
          <w:color w:val="FF0000"/>
        </w:rPr>
        <w:t xml:space="preserve"> </w:t>
      </w:r>
    </w:p>
    <w:p w14:paraId="481C90F3" w14:textId="151EFFC8" w:rsidR="00505B58" w:rsidRPr="00F16B42" w:rsidRDefault="00505B58" w:rsidP="00505B58">
      <w:pPr>
        <w:rPr>
          <w:color w:val="000000" w:themeColor="text1"/>
        </w:rPr>
      </w:pPr>
      <w:r>
        <w:rPr>
          <w:color w:val="000000" w:themeColor="text1"/>
        </w:rPr>
        <w:t>Option C- Planning Commission Discretion for Complex Sites: Planning Commission may certify alternative compliance based on peer</w:t>
      </w:r>
      <w:r>
        <w:rPr>
          <w:rFonts w:ascii="Cambria Math" w:hAnsi="Cambria Math" w:cs="Cambria Math"/>
          <w:color w:val="000000" w:themeColor="text1"/>
        </w:rPr>
        <w:t>‑</w:t>
      </w:r>
      <w:r>
        <w:rPr>
          <w:color w:val="000000" w:themeColor="text1"/>
        </w:rPr>
        <w:t>reviewed studies.</w:t>
      </w:r>
    </w:p>
    <w:p w14:paraId="337155EE" w14:textId="1B4F98AD" w:rsidR="00803EC2" w:rsidRPr="00726DDA" w:rsidRDefault="00803EC2" w:rsidP="00803EC2">
      <w:pPr>
        <w:rPr>
          <w:b/>
          <w:bCs/>
        </w:rPr>
      </w:pPr>
      <w:r>
        <w:rPr>
          <w:b/>
          <w:bCs/>
        </w:rPr>
        <w:t>Section 8. Severability.</w:t>
      </w:r>
    </w:p>
    <w:p w14:paraId="29B9B066" w14:textId="22801959" w:rsidR="00803EC2" w:rsidRDefault="00803EC2" w:rsidP="00803EC2">
      <w:r>
        <w:t xml:space="preserve">If any provision of this Ordinance is invalidated by a court of competent jurisdiction, the remaining provisions shall remain in full force and effect. </w:t>
      </w:r>
    </w:p>
    <w:p w14:paraId="1A000001" w14:textId="1A000001" w:rsidR="00803EC2" w:rsidRPr="00572D83" w:rsidRDefault="00803EC2" w:rsidP="00803EC2">
      <w:pPr>
        <w:rPr>
          <w:b/>
          <w:bCs/>
          <w:color w:val="000000" w:themeColor="text1"/>
        </w:rPr>
      </w:pPr>
      <w:r w:rsidRPr="00572D83">
        <w:rPr>
          <w:b/>
          <w:bCs/>
          <w:color w:val="000000" w:themeColor="text1"/>
        </w:rPr>
        <w:t>Section 9. Amendments.</w:t>
      </w:r>
    </w:p>
    <w:p w14:paraId="1A000002" w14:textId="1A000002" w:rsidR="00803EC2" w:rsidRDefault="00803EC2" w:rsidP="00803EC2">
      <w:pPr>
        <w:rPr>
          <w:color w:val="000000" w:themeColor="text1"/>
        </w:rPr>
      </w:pPr>
      <w:r w:rsidRPr="00572D83">
        <w:rPr>
          <w:color w:val="000000" w:themeColor="text1"/>
        </w:rPr>
        <w:t>This Ordinance may be amended by the [Governing Body] in accordance with the procedures set forth in Article VI of the Pennsylvania Municipalities Planning Code, 53 P.S. §10601, et seq.</w:t>
      </w:r>
    </w:p>
    <w:p w14:paraId="453AE677" w14:textId="6E71F3A4" w:rsidR="00572D83" w:rsidRPr="00B8257F" w:rsidRDefault="00572D83" w:rsidP="00803EC2">
      <w:pPr>
        <w:rPr>
          <w:color w:val="FF0000"/>
        </w:rPr>
      </w:pPr>
      <w:r w:rsidRPr="007E6BF0">
        <w:rPr>
          <w:b/>
          <w:bCs/>
          <w:color w:val="FF0000"/>
        </w:rPr>
        <w:t>Commentary</w:t>
      </w:r>
      <w:proofErr w:type="gramStart"/>
      <w:r w:rsidRPr="007E6BF0">
        <w:rPr>
          <w:b/>
          <w:bCs/>
          <w:color w:val="FF0000"/>
        </w:rPr>
        <w:t>:</w:t>
      </w:r>
      <w:r w:rsidRPr="00B8257F">
        <w:rPr>
          <w:color w:val="FF0000"/>
        </w:rPr>
        <w:t xml:space="preserve">  If</w:t>
      </w:r>
      <w:proofErr w:type="gramEnd"/>
      <w:r w:rsidRPr="00B8257F">
        <w:rPr>
          <w:color w:val="FF0000"/>
        </w:rPr>
        <w:t xml:space="preserve"> the municipality elects to address data center development through a municipal curative amendment, there can be no amendment for a period of 3 years.  </w:t>
      </w:r>
    </w:p>
    <w:p w14:paraId="53B0F080" w14:textId="77777777" w:rsidR="00803EC2" w:rsidRPr="009D5B4B" w:rsidRDefault="00803EC2" w:rsidP="00803EC2">
      <w:pPr>
        <w:rPr>
          <w:b/>
          <w:bCs/>
        </w:rPr>
      </w:pPr>
      <w:r>
        <w:rPr>
          <w:b/>
          <w:bCs/>
        </w:rPr>
        <w:lastRenderedPageBreak/>
        <w:t>Section 10. Repealer.</w:t>
      </w:r>
    </w:p>
    <w:p w14:paraId="1FA60AC3" w14:textId="259B1F0E" w:rsidR="009D5B4B" w:rsidRDefault="00803EC2" w:rsidP="00803EC2">
      <w:r>
        <w:t xml:space="preserve">All ordinances or parts of ordinances inconsistent herewith are hereby repealed to the extent of the inconsistency. </w:t>
      </w:r>
    </w:p>
    <w:p w14:paraId="3450B501" w14:textId="15EC2722" w:rsidR="00803EC2" w:rsidRPr="009D5B4B" w:rsidRDefault="00803EC2" w:rsidP="00803EC2">
      <w:pPr>
        <w:rPr>
          <w:b/>
          <w:bCs/>
        </w:rPr>
      </w:pPr>
      <w:r>
        <w:rPr>
          <w:b/>
          <w:bCs/>
        </w:rPr>
        <w:t>Section 11. Effective Date.</w:t>
      </w:r>
    </w:p>
    <w:p w14:paraId="1791382F" w14:textId="48426D11" w:rsidR="00803EC2" w:rsidRDefault="00803EC2" w:rsidP="00803EC2">
      <w:r>
        <w:t>This Ordinance shall take effect five (</w:t>
      </w:r>
      <w:r>
        <w:rPr>
          <w:highlight w:val="yellow"/>
        </w:rPr>
        <w:t>XX</w:t>
      </w:r>
      <w:r>
        <w:t xml:space="preserve">) days after enactment. </w:t>
      </w:r>
    </w:p>
    <w:p w14:paraId="66B0597C" w14:textId="047C130A" w:rsidR="00803EC2" w:rsidRPr="0017122B" w:rsidRDefault="00803EC2" w:rsidP="00803EC2">
      <w:pPr>
        <w:rPr>
          <w:b/>
          <w:bCs/>
          <w:i/>
          <w:iCs/>
          <w:color w:val="EE0000"/>
        </w:rPr>
      </w:pPr>
      <w:r>
        <w:rPr>
          <w:b/>
          <w:bCs/>
          <w:i/>
          <w:iCs/>
          <w:color w:val="EE0000"/>
        </w:rPr>
        <w:t xml:space="preserve">Notes for Local Customization: </w:t>
      </w:r>
    </w:p>
    <w:p w14:paraId="0B41B0D3" w14:textId="78EF130B" w:rsidR="00803EC2" w:rsidRPr="0017122B" w:rsidRDefault="00803EC2" w:rsidP="00803EC2">
      <w:pPr>
        <w:rPr>
          <w:color w:val="EE0000"/>
        </w:rPr>
      </w:pPr>
      <w:r>
        <w:rPr>
          <w:color w:val="EE0000"/>
        </w:rPr>
        <w:t>On</w:t>
      </w:r>
      <w:r>
        <w:rPr>
          <w:rFonts w:ascii="Cambria Math" w:hAnsi="Cambria Math" w:cs="Cambria Math"/>
          <w:color w:val="EE0000"/>
        </w:rPr>
        <w:t>‑</w:t>
      </w:r>
      <w:r>
        <w:rPr>
          <w:color w:val="EE0000"/>
        </w:rPr>
        <w:t xml:space="preserve">Site Power: Preserve resilience by allowing emergency/standby generation and ESS as accessory uses; regulate emissions via existing state/federal permits rather than duplicative local caps. </w:t>
      </w:r>
    </w:p>
    <w:p w14:paraId="7229542F" w14:textId="2A7A5249" w:rsidR="00803EC2" w:rsidRDefault="00803EC2" w:rsidP="00803EC2">
      <w:pPr>
        <w:rPr>
          <w:color w:val="EE0000"/>
        </w:rPr>
      </w:pPr>
      <w:r>
        <w:rPr>
          <w:color w:val="EE0000"/>
        </w:rPr>
        <w:t>Voluntary Sustainability/Community Measures: If desired, adopt a separate, voluntary MOU or CBA (outside zoning) to address clean</w:t>
      </w:r>
      <w:r>
        <w:rPr>
          <w:rFonts w:ascii="Cambria Math" w:hAnsi="Cambria Math" w:cs="Cambria Math"/>
          <w:color w:val="EE0000"/>
        </w:rPr>
        <w:t>‑</w:t>
      </w:r>
      <w:r>
        <w:rPr>
          <w:color w:val="EE0000"/>
        </w:rPr>
        <w:t>energy procurement goals, annual updates, community portals, or contributions</w:t>
      </w:r>
      <w:r>
        <w:rPr>
          <w:rFonts w:ascii="Aptos" w:hAnsi="Aptos" w:cs="Aptos"/>
          <w:color w:val="EE0000"/>
        </w:rPr>
        <w:t>—</w:t>
      </w:r>
      <w:r>
        <w:rPr>
          <w:color w:val="EE0000"/>
        </w:rPr>
        <w:t xml:space="preserve">avoiding regulatory overreach within zoning text. </w:t>
      </w:r>
    </w:p>
    <w:p w14:paraId="4BADBE05" w14:textId="6C9D281A" w:rsidR="00B80D6C" w:rsidRPr="0017122B" w:rsidRDefault="00B80D6C" w:rsidP="00803EC2">
      <w:pPr>
        <w:rPr>
          <w:color w:val="EE0000"/>
        </w:rPr>
      </w:pPr>
      <w:r>
        <w:rPr>
          <w:color w:val="EE0000"/>
        </w:rPr>
        <w:t>Decommissioning:  Data Centers are occupied buildings that may be sold either “as is” or repurposed by the owner</w:t>
      </w:r>
      <w:r w:rsidR="00A504E8">
        <w:rPr>
          <w:color w:val="EE0000"/>
        </w:rPr>
        <w:t xml:space="preserve"> for sale to the market</w:t>
      </w:r>
      <w:r>
        <w:rPr>
          <w:color w:val="EE0000"/>
        </w:rPr>
        <w:t xml:space="preserve">.  The </w:t>
      </w:r>
      <w:r w:rsidR="00A504E8">
        <w:rPr>
          <w:color w:val="EE0000"/>
        </w:rPr>
        <w:t>b</w:t>
      </w:r>
      <w:r>
        <w:rPr>
          <w:color w:val="EE0000"/>
        </w:rPr>
        <w:t>uildings are subject to the Uniform Construction Code and the codes adopted under including the Property Maintenance Code.  Enforcement actions and the applicable remedies are provided under 53 P.S. §§ 10</w:t>
      </w:r>
      <w:r w:rsidR="00B674F5">
        <w:rPr>
          <w:color w:val="EE0000"/>
        </w:rPr>
        <w:t xml:space="preserve">616 &amp; 10617 of the MPC.  Buildings are not “public improvements” as is permitted for bonding under 53 P.S. § 10509.  Except as permitted under Article V-A, impact fees are not permitted at all under the MPC.  Requiring a developer or end user to post a bond for purposes of demolishing the building is likely prohibited under the MPC and may constitute a taking or an unconstitutional condition.  </w:t>
      </w:r>
      <w:r>
        <w:rPr>
          <w:color w:val="EE0000"/>
        </w:rPr>
        <w:t xml:space="preserve"> </w:t>
      </w:r>
    </w:p>
    <w:p w14:paraId="6B70DFE1" w14:textId="77777777" w:rsidR="0036671C" w:rsidRDefault="0036671C"/>
    <w:sectPr w:rsidR="0036671C" w:rsidSect="0049425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447C6" w14:textId="77777777" w:rsidR="00311085" w:rsidRDefault="00311085" w:rsidP="00362338">
      <w:pPr>
        <w:spacing w:after="0" w:line="240" w:lineRule="auto"/>
      </w:pPr>
      <w:r>
        <w:separator/>
      </w:r>
    </w:p>
  </w:endnote>
  <w:endnote w:type="continuationSeparator" w:id="0">
    <w:p w14:paraId="6451CD0F" w14:textId="77777777" w:rsidR="00311085" w:rsidRDefault="00311085" w:rsidP="00362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E1189" w14:textId="77777777" w:rsidR="005014DC" w:rsidRDefault="005014DC" w:rsidP="009523F5">
    <w:pPr>
      <w:pStyle w:val="Footer"/>
    </w:pPr>
  </w:p>
  <w:p w14:paraId="53937B34" w14:textId="77777777" w:rsidR="005014DC" w:rsidRDefault="005014DC" w:rsidP="00952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18C15" w14:textId="77777777" w:rsidR="005014DC" w:rsidRDefault="005014DC" w:rsidP="00C75F1A">
    <w:pPr>
      <w:pStyle w:val="DocID"/>
    </w:pPr>
    <w:bookmarkStart w:id="0" w:name="_iDocIDField726bf84b-3d4f-4621-931d-a746"/>
    <w:bookmarkStart w:id="1" w:name="_iDocIDField6553217e-58aa-4360-b477-a0a5"/>
  </w:p>
  <w:p w14:paraId="7BF7D95E" w14:textId="77777777" w:rsidR="005014DC" w:rsidRDefault="005014DC" w:rsidP="00C75F1A">
    <w:pPr>
      <w:pStyle w:val="DocID"/>
    </w:pPr>
  </w:p>
  <w:p w14:paraId="6E5ADFE2" w14:textId="77777777" w:rsidR="005014DC" w:rsidRDefault="005014DC" w:rsidP="00C75F1A">
    <w:pPr>
      <w:pStyle w:val="DocID"/>
    </w:pPr>
  </w:p>
  <w:p w14:paraId="2F4BE14E" w14:textId="77777777" w:rsidR="005014DC" w:rsidRDefault="005014DC" w:rsidP="00C75F1A">
    <w:pPr>
      <w:pStyle w:val="DocID"/>
    </w:pPr>
  </w:p>
  <w:bookmarkEnd w:id="0"/>
  <w:bookmarkEnd w:id="1"/>
  <w:p w14:paraId="0D0F3F16" w14:textId="77777777" w:rsidR="005014DC" w:rsidRDefault="005014DC" w:rsidP="00C75F1A">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3DFCD" w14:textId="77777777" w:rsidR="005014DC" w:rsidRDefault="005014DC" w:rsidP="00216C16">
    <w:pPr>
      <w:pStyle w:val="Footer"/>
    </w:pPr>
  </w:p>
  <w:p w14:paraId="259D7625" w14:textId="77777777" w:rsidR="005014DC" w:rsidRDefault="005014DC" w:rsidP="00216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E5241" w14:textId="77777777" w:rsidR="00311085" w:rsidRDefault="00311085" w:rsidP="00362338">
      <w:pPr>
        <w:spacing w:after="0" w:line="240" w:lineRule="auto"/>
      </w:pPr>
      <w:r>
        <w:separator/>
      </w:r>
    </w:p>
  </w:footnote>
  <w:footnote w:type="continuationSeparator" w:id="0">
    <w:p w14:paraId="39003C99" w14:textId="77777777" w:rsidR="00311085" w:rsidRDefault="00311085" w:rsidP="00362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5ED2" w14:textId="77777777" w:rsidR="00B80D6C" w:rsidRDefault="00B80D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3DBB" w14:textId="77777777" w:rsidR="00B80D6C" w:rsidRDefault="00B80D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F752E" w14:textId="77777777" w:rsidR="00B80D6C" w:rsidRDefault="00B80D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57E5"/>
    <w:multiLevelType w:val="hybridMultilevel"/>
    <w:tmpl w:val="14823208"/>
    <w:lvl w:ilvl="0" w:tplc="B114F0C4">
      <w:start w:val="1"/>
      <w:numFmt w:val="upperLetter"/>
      <w:lvlText w:val="%1."/>
      <w:lvlJc w:val="left"/>
      <w:pPr>
        <w:ind w:left="54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8AC558B"/>
    <w:multiLevelType w:val="hybridMultilevel"/>
    <w:tmpl w:val="3F8E97C0"/>
    <w:lvl w:ilvl="0" w:tplc="990A937A">
      <w:start w:val="3"/>
      <w:numFmt w:val="upperLetter"/>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A2E0D7A"/>
    <w:multiLevelType w:val="hybridMultilevel"/>
    <w:tmpl w:val="4E9C32D8"/>
    <w:lvl w:ilvl="0" w:tplc="372C0F24">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E519D5"/>
    <w:multiLevelType w:val="hybridMultilevel"/>
    <w:tmpl w:val="B7E8BEFC"/>
    <w:lvl w:ilvl="0" w:tplc="015EE1D2">
      <w:start w:val="2"/>
      <w:numFmt w:val="upperLetter"/>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0828664">
    <w:abstractNumId w:val="2"/>
  </w:num>
  <w:num w:numId="2" w16cid:durableId="1351377064">
    <w:abstractNumId w:val="0"/>
  </w:num>
  <w:num w:numId="3" w16cid:durableId="1459035149">
    <w:abstractNumId w:val="1"/>
  </w:num>
  <w:num w:numId="4" w16cid:durableId="701714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EC2"/>
    <w:rsid w:val="000164A5"/>
    <w:rsid w:val="00017F7B"/>
    <w:rsid w:val="00021754"/>
    <w:rsid w:val="000422F3"/>
    <w:rsid w:val="00065D6F"/>
    <w:rsid w:val="00080550"/>
    <w:rsid w:val="00122B5B"/>
    <w:rsid w:val="00150905"/>
    <w:rsid w:val="00153594"/>
    <w:rsid w:val="0017122B"/>
    <w:rsid w:val="001A2B8E"/>
    <w:rsid w:val="001B0708"/>
    <w:rsid w:val="00230490"/>
    <w:rsid w:val="00263652"/>
    <w:rsid w:val="00277585"/>
    <w:rsid w:val="00283FD2"/>
    <w:rsid w:val="00296C2C"/>
    <w:rsid w:val="002A08E4"/>
    <w:rsid w:val="002A3881"/>
    <w:rsid w:val="002A4A8A"/>
    <w:rsid w:val="002B2F65"/>
    <w:rsid w:val="002B4CC0"/>
    <w:rsid w:val="002B6522"/>
    <w:rsid w:val="002E2219"/>
    <w:rsid w:val="003046DE"/>
    <w:rsid w:val="00311085"/>
    <w:rsid w:val="003527E5"/>
    <w:rsid w:val="003557D9"/>
    <w:rsid w:val="00362338"/>
    <w:rsid w:val="003640A2"/>
    <w:rsid w:val="00366071"/>
    <w:rsid w:val="0036671C"/>
    <w:rsid w:val="0038133A"/>
    <w:rsid w:val="003B4EEF"/>
    <w:rsid w:val="003D207C"/>
    <w:rsid w:val="00401B07"/>
    <w:rsid w:val="004358EF"/>
    <w:rsid w:val="004676CC"/>
    <w:rsid w:val="00474690"/>
    <w:rsid w:val="004801F8"/>
    <w:rsid w:val="00484864"/>
    <w:rsid w:val="00494259"/>
    <w:rsid w:val="0049644A"/>
    <w:rsid w:val="004D1405"/>
    <w:rsid w:val="004E64C7"/>
    <w:rsid w:val="004F383A"/>
    <w:rsid w:val="005014DC"/>
    <w:rsid w:val="00505B58"/>
    <w:rsid w:val="00526CC9"/>
    <w:rsid w:val="005475B1"/>
    <w:rsid w:val="00572D83"/>
    <w:rsid w:val="00601F75"/>
    <w:rsid w:val="00610050"/>
    <w:rsid w:val="00614EB2"/>
    <w:rsid w:val="006404FB"/>
    <w:rsid w:val="00676B54"/>
    <w:rsid w:val="006843CB"/>
    <w:rsid w:val="00686EDE"/>
    <w:rsid w:val="006C5B72"/>
    <w:rsid w:val="00726DDA"/>
    <w:rsid w:val="0074451D"/>
    <w:rsid w:val="007475C4"/>
    <w:rsid w:val="007B3EDF"/>
    <w:rsid w:val="007E6BF0"/>
    <w:rsid w:val="007F09EE"/>
    <w:rsid w:val="007F6C3A"/>
    <w:rsid w:val="00803EC2"/>
    <w:rsid w:val="0080470A"/>
    <w:rsid w:val="00814675"/>
    <w:rsid w:val="008249E2"/>
    <w:rsid w:val="00833B15"/>
    <w:rsid w:val="00835317"/>
    <w:rsid w:val="00850CC1"/>
    <w:rsid w:val="00855E15"/>
    <w:rsid w:val="008A6BC2"/>
    <w:rsid w:val="008C3FAB"/>
    <w:rsid w:val="009107C6"/>
    <w:rsid w:val="00910EEB"/>
    <w:rsid w:val="00953382"/>
    <w:rsid w:val="00956EC9"/>
    <w:rsid w:val="009862F5"/>
    <w:rsid w:val="009C54E0"/>
    <w:rsid w:val="009D5B4B"/>
    <w:rsid w:val="009E20D4"/>
    <w:rsid w:val="009F52BE"/>
    <w:rsid w:val="00A14DA0"/>
    <w:rsid w:val="00A26136"/>
    <w:rsid w:val="00A37B83"/>
    <w:rsid w:val="00A4629A"/>
    <w:rsid w:val="00A504E8"/>
    <w:rsid w:val="00A55202"/>
    <w:rsid w:val="00AB5E4C"/>
    <w:rsid w:val="00AC00AE"/>
    <w:rsid w:val="00AC6FE5"/>
    <w:rsid w:val="00AD2B74"/>
    <w:rsid w:val="00B06C79"/>
    <w:rsid w:val="00B07CB1"/>
    <w:rsid w:val="00B11E7B"/>
    <w:rsid w:val="00B17B3F"/>
    <w:rsid w:val="00B22D07"/>
    <w:rsid w:val="00B25BDE"/>
    <w:rsid w:val="00B42AAD"/>
    <w:rsid w:val="00B65AC4"/>
    <w:rsid w:val="00B674F5"/>
    <w:rsid w:val="00B80D6C"/>
    <w:rsid w:val="00B81B3A"/>
    <w:rsid w:val="00B8257F"/>
    <w:rsid w:val="00B94CA6"/>
    <w:rsid w:val="00C16790"/>
    <w:rsid w:val="00C30F95"/>
    <w:rsid w:val="00C400FD"/>
    <w:rsid w:val="00C404BF"/>
    <w:rsid w:val="00CA401C"/>
    <w:rsid w:val="00CD5ABC"/>
    <w:rsid w:val="00D22FF9"/>
    <w:rsid w:val="00D458F3"/>
    <w:rsid w:val="00D8163B"/>
    <w:rsid w:val="00D9160F"/>
    <w:rsid w:val="00DD3313"/>
    <w:rsid w:val="00E07754"/>
    <w:rsid w:val="00E15319"/>
    <w:rsid w:val="00E44847"/>
    <w:rsid w:val="00E53A64"/>
    <w:rsid w:val="00E604C8"/>
    <w:rsid w:val="00ED01D5"/>
    <w:rsid w:val="00EE3E21"/>
    <w:rsid w:val="00F16B42"/>
    <w:rsid w:val="00F47EC6"/>
    <w:rsid w:val="00F8350B"/>
    <w:rsid w:val="00F910D8"/>
    <w:rsid w:val="00FC30D3"/>
    <w:rsid w:val="00FE124A"/>
    <w:rsid w:val="00FF2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61968"/>
  <w15:chartTrackingRefBased/>
  <w15:docId w15:val="{CF3B20BF-2256-4A3F-875C-D2B09DC1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E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3E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3E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3E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E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E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E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E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E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E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3E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E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E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E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E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E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E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EC2"/>
    <w:rPr>
      <w:rFonts w:eastAsiaTheme="majorEastAsia" w:cstheme="majorBidi"/>
      <w:color w:val="272727" w:themeColor="text1" w:themeTint="D8"/>
    </w:rPr>
  </w:style>
  <w:style w:type="paragraph" w:styleId="Title">
    <w:name w:val="Title"/>
    <w:basedOn w:val="Normal"/>
    <w:next w:val="Normal"/>
    <w:link w:val="TitleChar"/>
    <w:uiPriority w:val="10"/>
    <w:qFormat/>
    <w:rsid w:val="00803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E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E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EC2"/>
    <w:pPr>
      <w:spacing w:before="160"/>
      <w:jc w:val="center"/>
    </w:pPr>
    <w:rPr>
      <w:i/>
      <w:iCs/>
      <w:color w:val="404040" w:themeColor="text1" w:themeTint="BF"/>
    </w:rPr>
  </w:style>
  <w:style w:type="character" w:customStyle="1" w:styleId="QuoteChar">
    <w:name w:val="Quote Char"/>
    <w:basedOn w:val="DefaultParagraphFont"/>
    <w:link w:val="Quote"/>
    <w:uiPriority w:val="29"/>
    <w:rsid w:val="00803EC2"/>
    <w:rPr>
      <w:i/>
      <w:iCs/>
      <w:color w:val="404040" w:themeColor="text1" w:themeTint="BF"/>
    </w:rPr>
  </w:style>
  <w:style w:type="paragraph" w:styleId="ListParagraph">
    <w:name w:val="List Paragraph"/>
    <w:basedOn w:val="Normal"/>
    <w:uiPriority w:val="34"/>
    <w:qFormat/>
    <w:rsid w:val="00803EC2"/>
    <w:pPr>
      <w:ind w:left="720"/>
      <w:contextualSpacing/>
    </w:pPr>
  </w:style>
  <w:style w:type="character" w:styleId="IntenseEmphasis">
    <w:name w:val="Intense Emphasis"/>
    <w:basedOn w:val="DefaultParagraphFont"/>
    <w:uiPriority w:val="21"/>
    <w:qFormat/>
    <w:rsid w:val="00803EC2"/>
    <w:rPr>
      <w:i/>
      <w:iCs/>
      <w:color w:val="0F4761" w:themeColor="accent1" w:themeShade="BF"/>
    </w:rPr>
  </w:style>
  <w:style w:type="paragraph" w:styleId="IntenseQuote">
    <w:name w:val="Intense Quote"/>
    <w:basedOn w:val="Normal"/>
    <w:next w:val="Normal"/>
    <w:link w:val="IntenseQuoteChar"/>
    <w:uiPriority w:val="30"/>
    <w:qFormat/>
    <w:rsid w:val="00803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EC2"/>
    <w:rPr>
      <w:i/>
      <w:iCs/>
      <w:color w:val="0F4761" w:themeColor="accent1" w:themeShade="BF"/>
    </w:rPr>
  </w:style>
  <w:style w:type="character" w:styleId="IntenseReference">
    <w:name w:val="Intense Reference"/>
    <w:basedOn w:val="DefaultParagraphFont"/>
    <w:uiPriority w:val="32"/>
    <w:qFormat/>
    <w:rsid w:val="00803EC2"/>
    <w:rPr>
      <w:b/>
      <w:bCs/>
      <w:smallCaps/>
      <w:color w:val="0F4761" w:themeColor="accent1" w:themeShade="BF"/>
      <w:spacing w:val="5"/>
    </w:rPr>
  </w:style>
  <w:style w:type="character" w:styleId="CommentReference">
    <w:name w:val="annotation reference"/>
    <w:basedOn w:val="DefaultParagraphFont"/>
    <w:uiPriority w:val="99"/>
    <w:semiHidden/>
    <w:unhideWhenUsed/>
    <w:rsid w:val="002A08E4"/>
    <w:rPr>
      <w:sz w:val="16"/>
      <w:szCs w:val="16"/>
    </w:rPr>
  </w:style>
  <w:style w:type="paragraph" w:styleId="CommentText">
    <w:name w:val="annotation text"/>
    <w:basedOn w:val="Normal"/>
    <w:link w:val="CommentTextChar"/>
    <w:uiPriority w:val="99"/>
    <w:unhideWhenUsed/>
    <w:rsid w:val="002A08E4"/>
    <w:pPr>
      <w:spacing w:line="240" w:lineRule="auto"/>
    </w:pPr>
    <w:rPr>
      <w:sz w:val="20"/>
      <w:szCs w:val="20"/>
    </w:rPr>
  </w:style>
  <w:style w:type="character" w:customStyle="1" w:styleId="CommentTextChar">
    <w:name w:val="Comment Text Char"/>
    <w:basedOn w:val="DefaultParagraphFont"/>
    <w:link w:val="CommentText"/>
    <w:uiPriority w:val="99"/>
    <w:rsid w:val="002A08E4"/>
    <w:rPr>
      <w:sz w:val="20"/>
      <w:szCs w:val="20"/>
    </w:rPr>
  </w:style>
  <w:style w:type="paragraph" w:styleId="CommentSubject">
    <w:name w:val="annotation subject"/>
    <w:basedOn w:val="CommentText"/>
    <w:next w:val="CommentText"/>
    <w:link w:val="CommentSubjectChar"/>
    <w:uiPriority w:val="99"/>
    <w:semiHidden/>
    <w:unhideWhenUsed/>
    <w:rsid w:val="002A08E4"/>
    <w:rPr>
      <w:b/>
      <w:bCs/>
    </w:rPr>
  </w:style>
  <w:style w:type="character" w:customStyle="1" w:styleId="CommentSubjectChar">
    <w:name w:val="Comment Subject Char"/>
    <w:basedOn w:val="CommentTextChar"/>
    <w:link w:val="CommentSubject"/>
    <w:uiPriority w:val="99"/>
    <w:semiHidden/>
    <w:rsid w:val="002A08E4"/>
    <w:rPr>
      <w:b/>
      <w:bCs/>
      <w:sz w:val="20"/>
      <w:szCs w:val="20"/>
    </w:rPr>
  </w:style>
  <w:style w:type="paragraph" w:styleId="Revision">
    <w:name w:val="Revision"/>
    <w:hidden/>
    <w:uiPriority w:val="99"/>
    <w:semiHidden/>
    <w:rsid w:val="00B25BDE"/>
    <w:pPr>
      <w:spacing w:after="0" w:line="240" w:lineRule="auto"/>
    </w:pPr>
  </w:style>
  <w:style w:type="paragraph" w:styleId="Header">
    <w:name w:val="header"/>
    <w:basedOn w:val="Normal"/>
    <w:link w:val="HeaderChar"/>
    <w:uiPriority w:val="99"/>
    <w:unhideWhenUsed/>
    <w:rsid w:val="003623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338"/>
  </w:style>
  <w:style w:type="paragraph" w:styleId="Footer">
    <w:name w:val="footer"/>
    <w:basedOn w:val="Normal"/>
    <w:link w:val="FooterChar"/>
    <w:uiPriority w:val="99"/>
    <w:unhideWhenUsed/>
    <w:rsid w:val="003623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338"/>
  </w:style>
  <w:style w:type="paragraph" w:customStyle="1" w:styleId="DocID">
    <w:name w:val="DocID"/>
    <w:basedOn w:val="Footer"/>
    <w:next w:val="Footer"/>
    <w:link w:val="DocIDChar"/>
    <w:rsid w:val="004F383A"/>
    <w:pPr>
      <w:tabs>
        <w:tab w:val="clear" w:pos="4680"/>
        <w:tab w:val="clear" w:pos="9360"/>
      </w:tabs>
      <w:jc w:val="right"/>
    </w:pPr>
    <w:rPr>
      <w:rFonts w:ascii="Arial" w:eastAsia="Times New Roman" w:hAnsi="Arial" w:cs="Arial"/>
      <w:kern w:val="0"/>
      <w:sz w:val="12"/>
      <w:szCs w:val="20"/>
      <w14:ligatures w14:val="none"/>
    </w:rPr>
  </w:style>
  <w:style w:type="character" w:customStyle="1" w:styleId="DocIDChar">
    <w:name w:val="DocID Char"/>
    <w:basedOn w:val="DefaultParagraphFont"/>
    <w:link w:val="DocID"/>
    <w:rsid w:val="004F383A"/>
    <w:rPr>
      <w:rFonts w:ascii="Arial" w:eastAsia="Times New Roman" w:hAnsi="Arial" w:cs="Arial"/>
      <w:kern w:val="0"/>
      <w:sz w:val="12"/>
      <w:szCs w:val="20"/>
      <w:lang w:val="en-US" w:eastAsia="en-US"/>
      <w14:ligatures w14:val="none"/>
    </w:rPr>
  </w:style>
  <w:style w:type="paragraph" w:customStyle="1" w:styleId="b1">
    <w:name w:val="b1"/>
    <w:basedOn w:val="Normal"/>
    <w:qFormat/>
    <w:rsid w:val="002E2219"/>
    <w:pPr>
      <w:spacing w:after="200" w:line="240" w:lineRule="auto"/>
      <w:ind w:left="432"/>
      <w:jc w:val="both"/>
    </w:pPr>
    <w:rPr>
      <w:rFonts w:ascii="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US_ACTIVE!250072816.4</documentid>
  <senderid>JGWILHEL</senderid>
  <senderemail>JWILHELM@REEDSMITH.COM</senderemail>
  <lastmodified>2026-06-10T09:56:00.0000000-04:00</lastmodified>
  <database>US_ACTIVE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B65FA-9530-4C41-BAFD-E060BCDD023A}">
  <ds:schemaRefs>
    <ds:schemaRef ds:uri="http://www.imanage.com/work/xmlschema"/>
  </ds:schemaRefs>
</ds:datastoreItem>
</file>

<file path=customXml/itemProps2.xml><?xml version="1.0" encoding="utf-8"?>
<ds:datastoreItem xmlns:ds="http://schemas.openxmlformats.org/officeDocument/2006/customXml" ds:itemID="{C4E7AE37-C3ED-4DF5-A33B-1F187ED79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2936</Words>
  <Characters>16740</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Anzur</dc:creator>
  <cp:lastModifiedBy>Jon Anzur</cp:lastModifiedBy>
  <cp:revision>2</cp:revision>
  <cp:lastPrinted>2026-06-10T14:09:00Z</cp:lastPrinted>
  <dcterms:created xsi:type="dcterms:W3CDTF">2026-06-15T17:51:00Z</dcterms:created>
  <dcterms:modified xsi:type="dcterms:W3CDTF">2026-06-15T17:51:00Z</dcterms:modified>
</cp:coreProperties>
</file>